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jc w:val="center"/>
      </w:pPr>
      <w:r>
        <w:drawing>
          <wp:inline xmlns:a="http://schemas.openxmlformats.org/drawingml/2006/main" xmlns:pic="http://schemas.openxmlformats.org/drawingml/2006/picture">
            <wp:extent cx="1728000" cy="423633"/>
            <wp:docPr id="1" name="Picture 1"/>
            <wp:cNvGraphicFramePr>
              <a:graphicFrameLocks noChangeAspect="1"/>
            </wp:cNvGraphicFramePr>
            <a:graphic>
              <a:graphicData uri="http://schemas.openxmlformats.org/drawingml/2006/picture">
                <pic:pic>
                  <pic:nvPicPr>
                    <pic:cNvPr id="0" name="cressem_logo.png"/>
                    <pic:cNvPicPr/>
                  </pic:nvPicPr>
                  <pic:blipFill>
                    <a:blip r:embed="rId11"/>
                    <a:stretch>
                      <a:fillRect/>
                    </a:stretch>
                  </pic:blipFill>
                  <pic:spPr>
                    <a:xfrm>
                      <a:off x="0" y="0"/>
                      <a:ext cx="1728000" cy="423633"/>
                    </a:xfrm>
                    <a:prstGeom prst="rect"/>
                  </pic:spPr>
                </pic:pic>
              </a:graphicData>
            </a:graphic>
          </wp:inline>
        </w:drawing>
      </w:r>
    </w:p>
    <w:p>
      <w:pPr>
        <w:spacing w:before="2400"/>
        <w:jc w:val="center"/>
      </w:pPr>
      <w:r>
        <w:rPr>
          <w:rFonts w:ascii="Calibri" w:hAnsi="Calibri" w:eastAsia="맑은 고딕"/>
          <w:b/>
          <w:color w:val="1A1A2E"/>
          <w:sz w:val="44"/>
        </w:rPr>
        <w:t>HBM3E 12-Hi 적층 구조 분석 및 단계별 검사 기술 보고서</w:t>
      </w:r>
    </w:p>
    <w:p>
      <w:pPr>
        <w:spacing w:after="720"/>
      </w:pPr>
    </w:p>
    <w:tbl>
      <w:tblPr>
        <w:tblW w:type="auto" w:w="0"/>
        <w:jc w:val="center"/>
        <w:tblLook w:firstColumn="1" w:firstRow="1" w:lastColumn="0" w:lastRow="0" w:noHBand="0" w:noVBand="1" w:val="04A0"/>
      </w:tblPr>
      <w:tblGrid>
        <w:gridCol w:w="4989"/>
        <w:gridCol w:w="4989"/>
      </w:tblGrid>
      <w:tr>
        <w:tc>
          <w:tcPr>
            <w:tcW w:type="dxa" w:w="1814"/>
            <w:tcBorders>
              <w:bottom w:val="single" w:sz="4" w:color="E0E0E0"/>
            </w:tcBorders>
          </w:tcPr>
          <w:p>
            <w:pPr>
              <w:jc w:val="right"/>
            </w:pPr>
            <w:r/>
            <w:r>
              <w:rPr>
                <w:rFonts w:ascii="Calibri" w:hAnsi="Calibri" w:eastAsia="맑은 고딕"/>
                <w:b/>
                <w:color w:val="EA5405"/>
                <w:sz w:val="20"/>
              </w:rPr>
              <w:t>문서번호</w:t>
            </w:r>
          </w:p>
        </w:tc>
        <w:tc>
          <w:tcPr>
            <w:tcW w:type="dxa" w:w="5102"/>
            <w:tcBorders>
              <w:bottom w:val="single" w:sz="4" w:color="E0E0E0"/>
            </w:tcBorders>
          </w:tcPr>
          <w:p>
            <w:r/>
            <w:r>
              <w:rPr>
                <w:rFonts w:ascii="Calibri" w:hAnsi="Calibri" w:eastAsia="맑은 고딕"/>
                <w:b w:val="0"/>
                <w:color w:val="333333"/>
                <w:sz w:val="20"/>
              </w:rPr>
              <w:t>CRSM-AI-2026-AUTO</w:t>
            </w:r>
          </w:p>
        </w:tc>
      </w:tr>
      <w:tr>
        <w:tc>
          <w:tcPr>
            <w:tcW w:type="dxa" w:w="1814"/>
            <w:tcBorders>
              <w:bottom w:val="single" w:sz="4" w:color="E0E0E0"/>
            </w:tcBorders>
          </w:tcPr>
          <w:p>
            <w:pPr>
              <w:jc w:val="right"/>
            </w:pPr>
            <w:r/>
            <w:r>
              <w:rPr>
                <w:rFonts w:ascii="Calibri" w:hAnsi="Calibri" w:eastAsia="맑은 고딕"/>
                <w:b/>
                <w:color w:val="EA5405"/>
                <w:sz w:val="20"/>
              </w:rPr>
              <w:t>작성일</w:t>
            </w:r>
          </w:p>
        </w:tc>
        <w:tc>
          <w:tcPr>
            <w:tcW w:type="dxa" w:w="5102"/>
            <w:tcBorders>
              <w:bottom w:val="single" w:sz="4" w:color="E0E0E0"/>
            </w:tcBorders>
          </w:tcPr>
          <w:p>
            <w:r/>
            <w:r>
              <w:rPr>
                <w:rFonts w:ascii="Calibri" w:hAnsi="Calibri" w:eastAsia="맑은 고딕"/>
                <w:b w:val="0"/>
                <w:color w:val="333333"/>
                <w:sz w:val="20"/>
              </w:rPr>
              <w:t>2026-06-13</w:t>
            </w:r>
          </w:p>
        </w:tc>
      </w:tr>
      <w:tr>
        <w:tc>
          <w:tcPr>
            <w:tcW w:type="dxa" w:w="1814"/>
            <w:tcBorders>
              <w:bottom w:val="single" w:sz="4" w:color="E0E0E0"/>
            </w:tcBorders>
          </w:tcPr>
          <w:p>
            <w:pPr>
              <w:jc w:val="right"/>
            </w:pPr>
            <w:r/>
            <w:r>
              <w:rPr>
                <w:rFonts w:ascii="Calibri" w:hAnsi="Calibri" w:eastAsia="맑은 고딕"/>
                <w:b/>
                <w:color w:val="EA5405"/>
                <w:sz w:val="20"/>
              </w:rPr>
              <w:t>작성</w:t>
            </w:r>
          </w:p>
        </w:tc>
        <w:tc>
          <w:tcPr>
            <w:tcW w:type="dxa" w:w="5102"/>
            <w:tcBorders>
              <w:bottom w:val="single" w:sz="4" w:color="E0E0E0"/>
            </w:tcBorders>
          </w:tcPr>
          <w:p>
            <w:r/>
            <w:r>
              <w:rPr>
                <w:rFonts w:ascii="Calibri" w:hAnsi="Calibri" w:eastAsia="맑은 고딕"/>
                <w:b w:val="0"/>
                <w:color w:val="333333"/>
                <w:sz w:val="20"/>
              </w:rPr>
              <w:t>Cressem AI 시스템 (자동 생성)</w:t>
            </w:r>
          </w:p>
        </w:tc>
      </w:tr>
      <w:tr>
        <w:tc>
          <w:tcPr>
            <w:tcW w:type="dxa" w:w="1814"/>
            <w:tcBorders>
              <w:bottom w:val="single" w:sz="4" w:color="E0E0E0"/>
            </w:tcBorders>
          </w:tcPr>
          <w:p>
            <w:pPr>
              <w:jc w:val="right"/>
            </w:pPr>
            <w:r/>
            <w:r>
              <w:rPr>
                <w:rFonts w:ascii="Calibri" w:hAnsi="Calibri" w:eastAsia="맑은 고딕"/>
                <w:b/>
                <w:color w:val="EA5405"/>
                <w:sz w:val="20"/>
              </w:rPr>
              <w:t>보안등급</w:t>
            </w:r>
          </w:p>
        </w:tc>
        <w:tc>
          <w:tcPr>
            <w:tcW w:type="dxa" w:w="5102"/>
            <w:tcBorders>
              <w:bottom w:val="single" w:sz="4" w:color="E0E0E0"/>
            </w:tcBorders>
          </w:tcPr>
          <w:p>
            <w:r/>
            <w:r>
              <w:rPr>
                <w:rFonts w:ascii="Calibri" w:hAnsi="Calibri" w:eastAsia="맑은 고딕"/>
                <w:b w:val="0"/>
                <w:color w:val="333333"/>
                <w:sz w:val="20"/>
              </w:rPr>
              <w:t>사내 비밀 (Confidential)</w:t>
            </w:r>
          </w:p>
        </w:tc>
      </w:tr>
      <w:tr>
        <w:tc>
          <w:tcPr>
            <w:tcW w:type="dxa" w:w="1814"/>
            <w:tcBorders>
              <w:bottom w:val="single" w:sz="4" w:color="E0E0E0"/>
            </w:tcBorders>
          </w:tcPr>
          <w:p>
            <w:pPr>
              <w:jc w:val="right"/>
            </w:pPr>
            <w:r/>
            <w:r>
              <w:rPr>
                <w:rFonts w:ascii="Calibri" w:hAnsi="Calibri" w:eastAsia="맑은 고딕"/>
                <w:b/>
                <w:color w:val="EA5405"/>
                <w:sz w:val="20"/>
              </w:rPr>
              <w:t>버전</w:t>
            </w:r>
          </w:p>
        </w:tc>
        <w:tc>
          <w:tcPr>
            <w:tcW w:type="dxa" w:w="5102"/>
            <w:tcBorders>
              <w:bottom w:val="single" w:sz="4" w:color="E0E0E0"/>
            </w:tcBorders>
          </w:tcPr>
          <w:p>
            <w:r/>
            <w:r>
              <w:rPr>
                <w:rFonts w:ascii="Calibri" w:hAnsi="Calibri" w:eastAsia="맑은 고딕"/>
                <w:b w:val="0"/>
                <w:color w:val="333333"/>
                <w:sz w:val="20"/>
              </w:rPr>
              <w:t>v1.0</w:t>
            </w:r>
          </w:p>
        </w:tc>
      </w:tr>
    </w:tbl>
    <w:p>
      <w:r>
        <w:br w:type="page"/>
      </w:r>
    </w:p>
    <w:p>
      <w:pPr>
        <w:pBdr>
          <w:bottom w:val="single" w:sz="14" w:space="2" w:color="EA5405"/>
        </w:pBdr>
      </w:pPr>
      <w:r>
        <w:rPr>
          <w:rFonts w:ascii="Calibri" w:hAnsi="Calibri" w:eastAsia="맑은 고딕"/>
          <w:b/>
          <w:color w:val="EA5405"/>
          <w:sz w:val="40"/>
        </w:rPr>
        <w:t>목 차</w:t>
      </w:r>
    </w:p>
    <w:p>
      <w:r>
        <w:t>%%TOCMARK%%</w:t>
      </w:r>
    </w:p>
    <w:p>
      <w:r>
        <w:br w:type="page"/>
      </w:r>
    </w:p>
    <w:p>
      <w:pPr>
        <w:pStyle w:val="Heading1"/>
        <w:pBdr>
          <w:bottom w:val="single" w:sz="14" w:space="2" w:color="EA5405"/>
        </w:pBdr>
      </w:pPr>
      <w:r/>
      <w:r>
        <w:rPr>
          <w:rFonts w:ascii="Calibri" w:hAnsi="Calibri" w:eastAsia="맑은 고딕"/>
          <w:b/>
          <w:color w:val="EA5405"/>
          <w:sz w:val="30"/>
        </w:rPr>
        <w:t>HBM3E 12-Hi 적층 구조 분석 및 단계별 검사 기술 보고서</w:t>
      </w:r>
    </w:p>
    <w:p>
      <w:r>
        <w:rPr>
          <w:rFonts w:ascii="Calibri" w:hAnsi="Calibri" w:eastAsia="맑은 고딕"/>
          <w:b w:val="0"/>
          <w:color w:val="333333"/>
          <w:sz w:val="21"/>
        </w:rPr>
        <w:t>HBM3E 12단(12-Hi) 적층 구조의 기술적 특성을 분석하고, 수율 확보를 위한 전공정부터 최종 신뢰성 테스트까지의 단계별 핵심 검사 항목을 정의합니다. 특히 고단 적층에 따른 물리적/전기적 결함 대응 전략을 포함합니다.</w:t>
      </w:r>
    </w:p>
    <w:p>
      <w:pPr>
        <w:pStyle w:val="Heading2"/>
      </w:pPr>
      <w:r/>
      <w:r>
        <w:rPr>
          <w:rFonts w:ascii="Calibri" w:hAnsi="Calibri" w:eastAsia="맑은 고딕"/>
          <w:b/>
          <w:color w:val="333333"/>
          <w:sz w:val="24"/>
        </w:rPr>
        <w:t>개요 및 HBM3E 기술 동향</w:t>
      </w:r>
    </w:p>
    <w:p>
      <w:r>
        <w:rPr>
          <w:rFonts w:ascii="Calibri" w:hAnsi="Calibri" w:eastAsia="맑은 고딕"/>
          <w:b/>
          <w:color w:val="333333"/>
          <w:sz w:val="21"/>
        </w:rPr>
        <w:t>1. HBM3E 기술의 등장 배경 및 시장 위치</w:t>
      </w:r>
    </w:p>
    <w:p>
      <w:r>
        <w:rPr>
          <w:rFonts w:ascii="Calibri" w:hAnsi="Calibri" w:eastAsia="맑은 고딕"/>
          <w:b w:val="0"/>
          <w:color w:val="333333"/>
          <w:sz w:val="21"/>
        </w:rPr>
        <w:t>인공지능(AI) 모델의 파라미터 수가 기하급수적으로 증가함에 따라, 이를 처리하기 위한 고성능 컴퓨팅(HPC) 및 AI 가속기 시장이 폭발적으로 성장하고 있습니다. 이러한 시장의 요구사항을 충족하기 위해 기존의 DDR(Double Data Rate) 메모리 구조를 넘어선 고대역폭 메모리(HBM, High Bandwidth Memory)의 중요성이 극대화되었습니다. HBM3E는 HBM3의 연장선상에 있는 5세대 HBM 아키텍처로서, AI 연산에 필수적인 초고속 데이터 전송 능력을 제공하는 핵심 메모리 솔루션입니다 [출처: blogs.sw.siemens.com].</w:t>
      </w:r>
    </w:p>
    <w:p>
      <w:r>
        <w:rPr>
          <w:rFonts w:ascii="Calibri" w:hAnsi="Calibri" w:eastAsia="맑은 고딕"/>
          <w:b w:val="0"/>
          <w:color w:val="333333"/>
          <w:sz w:val="21"/>
        </w:rPr>
        <w:t>특히 HBM3E는 단순한 성능 향상을 넘어, AI 가속기 내에서 GPU와 결합하여 데이터 병목 현상을 해결하는 데 결정적인 역할을 수행합니다. 현재 반도체 산업의 패러다임이 전공정(Front-end)의 미세화에서 후공정(Back-end)의 고도화, 즉 어드밴스드 패키징(Advanced Packaging)으로 이동함에 따라 HBM3E와 같은 고부가가치 제품의 수요는 급증하고 있습니다 [출처: 분석_크레셈CRESSEM20260509001.pdf].</w:t>
      </w:r>
    </w:p>
    <w:p>
      <w:r>
        <w:rPr>
          <w:rFonts w:ascii="Calibri" w:hAnsi="Calibri" w:eastAsia="맑은 고딕"/>
          <w:b/>
          <w:color w:val="333333"/>
          <w:sz w:val="21"/>
        </w:rPr>
        <w:t>2. HBM3E 12-Hi 적층 구조의 기술적 특징</w:t>
      </w:r>
    </w:p>
    <w:p>
      <w:r>
        <w:rPr>
          <w:rFonts w:ascii="Calibri" w:hAnsi="Calibri" w:eastAsia="맑은 고딕"/>
          <w:b w:val="0"/>
          <w:color w:val="333333"/>
          <w:sz w:val="21"/>
        </w:rPr>
        <w:t>HBM3E의 기술적 진보는 적층 단수(Stack Height)의 증가와 데이터 전송 효율의 극대화로 요약됩니다. 기존 HBM3 제품이 주로 8단(8-Hi) 구조를 채택했다면, 차세대 고용량 제품은 12단(12-Hi) 적층 구조를 통해 물리적 한계를 극복하고 있습니다.</w:t>
      </w:r>
    </w:p>
    <w:p>
      <w:pPr>
        <w:ind w:left="283"/>
      </w:pPr>
      <w:r>
        <w:rPr>
          <w:rFonts w:ascii="Calibri" w:hAnsi="Calibri" w:eastAsia="맑은 고딕"/>
          <w:b w:val="0"/>
          <w:color w:val="333333"/>
          <w:sz w:val="21"/>
        </w:rPr>
        <w:t>•   **용량 및 대역폭의 혁신:** 12단 적층 구조를 적용한 HBM3E는 기존 8단 제품 대비 용량이 크게 개선되었습니다. 예를 들어, 8단 적층 제품이 12단 제품과 동일한 용량을 확보할 수 있는 기술적 토대를 마련함으로써, 향후 12단 이상의 제품 개발 시 더욱 거대한 메모리 용량을 구현할 수 있게 되었습니다 [출처: news.skhynix.co.kr]. 또한, HBM3E는 1,024-bit의 광폭 인터페이스와 16개의 독립적인 채널을 통해 스택당 1.2 TB/s 이상의 대역폭(Bandwidth)을 제공하는 것을 목표로 하고 있습니다 [출처: blogs.sw.siemens.com].</w:t>
      </w:r>
    </w:p>
    <w:p>
      <w:pPr>
        <w:ind w:left="283"/>
      </w:pPr>
      <w:r>
        <w:rPr>
          <w:rFonts w:ascii="Calibri" w:hAnsi="Calibri" w:eastAsia="맑은 고딕"/>
          <w:b w:val="0"/>
          <w:color w:val="333333"/>
          <w:sz w:val="21"/>
        </w:rPr>
        <w:t>•   **데이터 전송 속도(Pin Speed):** HBM3E는 핀당 데이터 전송 속도(Per-pin data rate)를 9Gbps 이상으로 끌어올려, 고속 신호 전달을 위한 신호 무결성(Signal Integrity, SI) 및 전력 무결성(Power Integrity, PI) 확보가 핵심 기술 요소로 부각되고 있습니다 [출처: blogs.sw.siemens.com]. 마이크론(Micron)의 경우, HBM3E 8단 및 12단 모듈에서 9.2Gbps 이상의 업계 선도적인 핀 속도를 구현하고 있습니다 [출처: micron.com].</w:t>
      </w:r>
    </w:p>
    <w:p>
      <w:r>
        <w:rPr>
          <w:rFonts w:ascii="Calibri" w:hAnsi="Calibri" w:eastAsia="맑은 고딕"/>
          <w:b/>
          <w:color w:val="333333"/>
          <w:sz w:val="21"/>
        </w:rPr>
        <w:t>3. HBM3E 기술 사양 비교 분석</w:t>
      </w:r>
    </w:p>
    <w:p>
      <w:r>
        <w:rPr>
          <w:rFonts w:ascii="Calibri" w:hAnsi="Calibri" w:eastAsia="맑은 고딕"/>
          <w:b w:val="0"/>
          <w:color w:val="333333"/>
          <w:sz w:val="21"/>
        </w:rPr>
        <w:t>HBM의 세대별 진화 과정을 살펴보면, 적층 기술과 데이터 처리 능력의 비약적인 발전을 확인할 수 있습니다. 아래 표는 HBM3에서 HBM3E로 이어지는 주요 기술적 변화를 요약한 것입니다.</w:t>
      </w:r>
    </w:p>
    <w:tbl>
      <w:tblPr>
        <w:tblW w:type="auto" w:w="0"/>
        <w:jc w:val="center"/>
        <w:tblLayout w:type="fixed"/>
        <w:tblLook w:firstColumn="1" w:firstRow="1" w:lastColumn="0" w:lastRow="0" w:noHBand="0" w:noVBand="1" w:val="04A0"/>
      </w:tblPr>
      <w:tblGrid>
        <w:gridCol w:w="2494"/>
        <w:gridCol w:w="2494"/>
        <w:gridCol w:w="2494"/>
        <w:gridCol w:w="2494"/>
      </w:tblGrid>
      <w:tr>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구분</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HBM3 (3세대)</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HBM3E (5세대)</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비고</w:t>
            </w:r>
          </w:p>
        </w:tc>
      </w:tr>
      <w:t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**주요 적층 구조**</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8-Hi 중심</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8-Hi / 12-Hi (확대)</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적층 단수 증가로 용량 확대</w:t>
            </w:r>
          </w:p>
        </w:tc>
      </w:tr>
      <w:t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**데이터 대역폭**</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상대적 저속</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1.2 TB/s 이상 (Target)</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AI/HPC 워크로드 최적화</w:t>
            </w:r>
          </w:p>
        </w:tc>
      </w:tr>
      <w:t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**핀 속도 (Pin Speed)**</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9.2 Gbps 이상</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초고속 데이터 전송 구현</w:t>
            </w:r>
          </w:p>
        </w:tc>
      </w:tr>
      <w:t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**주요 기술 이슈**</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TSV 연결성 확보</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SI/PI 및 고단 적층 안정성</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검사 난이도 급증</w:t>
            </w:r>
          </w:p>
        </w:tc>
      </w:tr>
    </w:tbl>
    <w:p>
      <w:r>
        <w:rPr>
          <w:rFonts w:ascii="Calibri" w:hAnsi="Calibri" w:eastAsia="맑은 고딕"/>
          <w:b/>
          <w:color w:val="333333"/>
          <w:sz w:val="21"/>
        </w:rPr>
        <w:t>4. HBM3E 검사 기술의 중요성 및 시사점</w:t>
      </w:r>
    </w:p>
    <w:p>
      <w:r>
        <w:rPr>
          <w:rFonts w:ascii="Calibri" w:hAnsi="Calibri" w:eastAsia="맑은 고딕"/>
          <w:b w:val="0"/>
          <w:color w:val="333333"/>
          <w:sz w:val="21"/>
        </w:rPr>
        <w:t>HBM3E 12-Hi와 같이 적층 단수가 높아질수록 제조 공정의 난이도는 기하급수적으로 상승합니다. 수십 개의 D램 다이(Die)를 TSV(Through-Silicon Via, 실리콘 관통 전극) 기술을 통해 수직으로 연결하는 3D 구조 특성상, 단 하나의 다이라도 결함이 발생할 경우 전체 스택을 폐기해야 하는 수율(Yield) 리스크가 존재합니다 [출처: w4.kirs.or.kr].</w:t>
      </w:r>
    </w:p>
    <w:p>
      <w:r>
        <w:rPr>
          <w:rFonts w:ascii="Calibri" w:hAnsi="Calibri" w:eastAsia="맑은 고딕"/>
          <w:b w:val="0"/>
          <w:color w:val="333333"/>
          <w:sz w:val="21"/>
        </w:rPr>
        <w:t>따라서 HBM3E 공정에서는 다음과 같은 검사 기술의 고도화가 필수적입니다.</w:t>
      </w:r>
    </w:p>
    <w:p>
      <w:r>
        <w:rPr>
          <w:rFonts w:ascii="Calibri" w:hAnsi="Calibri" w:eastAsia="맑은 고딕"/>
          <w:b w:val="0"/>
          <w:color w:val="333333"/>
          <w:sz w:val="21"/>
        </w:rPr>
        <w:t xml:space="preserve">1.  </w:t>
      </w:r>
      <w:r>
        <w:rPr>
          <w:rFonts w:ascii="Calibri" w:hAnsi="Calibri" w:eastAsia="맑은 고딕"/>
          <w:b/>
          <w:color w:val="333333"/>
          <w:sz w:val="21"/>
        </w:rPr>
        <w:t>Pre-stacking 검사:</w:t>
      </w:r>
      <w:r>
        <w:rPr>
          <w:rFonts w:ascii="Calibri" w:hAnsi="Calibri" w:eastAsia="맑은 고딕"/>
          <w:b w:val="0"/>
          <w:color w:val="333333"/>
          <w:sz w:val="21"/>
        </w:rPr>
        <w:t xml:space="preserve"> 적층 전 개별 다이의 전기적 특성과 TSV 상태를 완벽히 검증하여 'Known Good Die(KGD)'를 확보하는 것이 수율 관리의 핵심입니다 [출처: 보고서_삼성전자HBM4전환에따른검사기술동향및대응전략20260509001.pdf].</w:t>
      </w:r>
    </w:p>
    <w:p>
      <w:r>
        <w:rPr>
          <w:rFonts w:ascii="Calibri" w:hAnsi="Calibri" w:eastAsia="맑은 고딕"/>
          <w:b w:val="0"/>
          <w:color w:val="333333"/>
          <w:sz w:val="21"/>
        </w:rPr>
        <w:t xml:space="preserve">2.  </w:t>
      </w:r>
      <w:r>
        <w:rPr>
          <w:rFonts w:ascii="Calibri" w:hAnsi="Calibri" w:eastAsia="맑은 고딕"/>
          <w:b/>
          <w:color w:val="333333"/>
          <w:sz w:val="21"/>
        </w:rPr>
        <w:t>고속/고정밀 검사:</w:t>
      </w:r>
      <w:r>
        <w:rPr>
          <w:rFonts w:ascii="Calibri" w:hAnsi="Calibri" w:eastAsia="맑은 고딕"/>
          <w:b w:val="0"/>
          <w:color w:val="333333"/>
          <w:sz w:val="21"/>
        </w:rPr>
        <w:t xml:space="preserve"> 9.2Gbps 이상의 고속 신호를 지원하기 위한 하이스피드 테스트(High-speed Test)와 미세한 마이크로 범프(Micro-bump) 및 TSV 결함을 잡아내기 위한 초고해상도 광학 검사 솔루션이 요구됩니다 [출처: m.blog.naver.com].</w:t>
      </w:r>
    </w:p>
    <w:p>
      <w:r>
        <w:rPr>
          <w:rFonts w:ascii="Calibri" w:hAnsi="Calibri" w:eastAsia="맑은 고딕"/>
          <w:b w:val="0"/>
          <w:color w:val="333333"/>
          <w:sz w:val="21"/>
        </w:rPr>
        <w:t xml:space="preserve">3.  </w:t>
      </w:r>
      <w:r>
        <w:rPr>
          <w:rFonts w:ascii="Calibri" w:hAnsi="Calibri" w:eastAsia="맑은 고딕"/>
          <w:b/>
          <w:color w:val="333333"/>
          <w:sz w:val="21"/>
        </w:rPr>
        <w:t>열 관리 및 신뢰성 검사:</w:t>
      </w:r>
      <w:r>
        <w:rPr>
          <w:rFonts w:ascii="Calibri" w:hAnsi="Calibri" w:eastAsia="맑은 고딕"/>
          <w:b w:val="0"/>
          <w:color w:val="333333"/>
          <w:sz w:val="21"/>
        </w:rPr>
        <w:t xml:space="preserve"> 고단 적층에 따른 Thermal Scaling 이슈와 극한 환경에서의 동작 안정성을 확인하기 위한 열적 신뢰성 테스트가 필수적으로 수반되어야 합니다 [출처: m.blog.naver.com].</w:t>
      </w:r>
    </w:p>
    <w:p>
      <w:r>
        <w:rPr>
          <w:rFonts w:ascii="Calibri" w:hAnsi="Calibri" w:eastAsia="맑은 고딕"/>
          <w:b w:val="0"/>
          <w:color w:val="333333"/>
          <w:sz w:val="21"/>
        </w:rPr>
        <w:t>결론적으로 HBM3E 12-Hi 기술은 AI 반도체 시장의 주도권을 결정짓는 핵심 요소이며, 이를 안정적으로 양산하기 위한 고정밀 검사 및 테스트 솔루션의 확보는 반도체 제조 경쟁력의 핵심 지표가 될 것입니다.</w:t>
      </w:r>
    </w:p>
    <w:p>
      <w:pPr>
        <w:pStyle w:val="Heading2"/>
      </w:pPr>
      <w:r/>
      <w:r>
        <w:rPr>
          <w:rFonts w:ascii="Calibri" w:hAnsi="Calibri" w:eastAsia="맑은 고딕"/>
          <w:b/>
          <w:color w:val="333333"/>
          <w:sz w:val="24"/>
        </w:rPr>
        <w:t>HBM3E 12-Hi 적층 구조 분석</w:t>
      </w:r>
    </w:p>
    <w:p>
      <w:r>
        <w:rPr>
          <w:rFonts w:ascii="Calibri" w:hAnsi="Calibri" w:eastAsia="맑은 고딕"/>
          <w:b w:val="0"/>
          <w:color w:val="333333"/>
          <w:sz w:val="21"/>
        </w:rPr>
        <w:t>HBM3E(High Bandwidth Memory 3E) 12-Hi(12단) 제품은 인공지능(AI) 및 고성능 컴퓨팅(HPC) 시장의 폭발적인 수요에 대응하기 위해 설계된 고대역폭 메모리의 정점입니다. 기존 HBM3 대비 용량과 데이터 처리 성능이 비약적으로 향상되었으며, 특히 12단 적층을 통해 현존하는 HBM 제품군 중 최대 수준인 36GB의 용량을 구현하는 등 기술적 난이도가 극도로 높은 구조를 가지고 있습니다 [출처: news.skhynix.co.kr/12hi-hbm3e-production/]. 본 섹션에서는 12-Hi 적층 구조의 물리적 구성 요소와 핵심 기술인 TSV(Through Silicon Via), Micro-bump의 특성을 심층 분석합니다.</w:t>
      </w:r>
    </w:p>
    <w:p>
      <w:pPr>
        <w:pStyle w:val="Heading3"/>
      </w:pPr>
      <w:r/>
      <w:r>
        <w:rPr>
          <w:rFonts w:ascii="Calibri" w:hAnsi="Calibri" w:eastAsia="맑은 고딕"/>
          <w:b/>
          <w:color w:val="888888"/>
          <w:sz w:val="21"/>
        </w:rPr>
        <w:t>1. 12-Hi Stack의 물리적 구성 및 수직 적층 메커니즘</w:t>
      </w:r>
    </w:p>
    <w:p>
      <w:r>
        <w:rPr>
          <w:rFonts w:ascii="Calibri" w:hAnsi="Calibri" w:eastAsia="맑은 고딕"/>
          <w:b w:val="0"/>
          <w:color w:val="333333"/>
          <w:sz w:val="21"/>
        </w:rPr>
        <w:t>HBM3E 12-Hi 구조는 12개의 DRAM 다이(Die)를 수직으로 정밀하게 쌓아 올린 3D 적층 구조를 기본으로 합니다 [출처: m.blog.naver.com/lepain-/223505883866]. 각 다이는 독립적인 메모리 셀을 포함하며, 이들이 하나의 스택(Stack)으로 통합되어 방대한 데이터를 초고속으로 주고받을 수 있는 통로를 형성합니다.</w:t>
      </w:r>
    </w:p>
    <w:p>
      <w:r>
        <w:rPr>
          <w:rFonts w:ascii="Calibri" w:hAnsi="Calibri" w:eastAsia="맑은 고딕"/>
          <w:b w:val="0"/>
          <w:color w:val="333333"/>
          <w:sz w:val="21"/>
        </w:rPr>
        <w:t>적층 기술의 핵심은 'Stack Height(적층 높이)'의 제어입니다. 12단 이상의 고단 적층으로 갈수록 전체 패키지의 두께(Total Thickness)는 증가하는 반면, 개별 다이의 두께는 얇아져야 하는 모순적인 요구사항이 발생합니다. 예를 들어, HBM3E 및 차세대 HBM4 공정에서는 전체 적층 높이를 유지하면서도 단수를 늘리기 위해 다이 박막화(Thinning) 기술이 필수적으로 적용됩니다 [출처: scribd.com]. 이러한 공정 과정에서 발생하는 물리적 변형인 Warpage(휘어짐) 현상은 적층 정밀도를 저해하는 주요 원인이 되므로, 매우 정밀한 두께 제어와 공정 관리가 요구됩니다 [출처: w4.kirs.or.kr].</w:t>
      </w:r>
    </w:p>
    <w:p>
      <w:pPr>
        <w:jc w:val="center"/>
      </w:pPr>
      <w:r>
        <w:drawing>
          <wp:inline xmlns:a="http://schemas.openxmlformats.org/drawingml/2006/main" xmlns:pic="http://schemas.openxmlformats.org/drawingml/2006/picture">
            <wp:extent cx="6048000" cy="7710420"/>
            <wp:docPr id="2" name="Picture 2"/>
            <wp:cNvGraphicFramePr>
              <a:graphicFrameLocks noChangeAspect="1"/>
            </wp:cNvGraphicFramePr>
            <a:graphic>
              <a:graphicData uri="http://schemas.openxmlformats.org/drawingml/2006/picture">
                <pic:pic>
                  <pic:nvPicPr>
                    <pic:cNvPr id="0" name="_dx_56857.png"/>
                    <pic:cNvPicPr/>
                  </pic:nvPicPr>
                  <pic:blipFill>
                    <a:blip r:embed="rId12"/>
                    <a:stretch>
                      <a:fillRect/>
                    </a:stretch>
                  </pic:blipFill>
                  <pic:spPr>
                    <a:xfrm>
                      <a:off x="0" y="0"/>
                      <a:ext cx="6048000" cy="7710420"/>
                    </a:xfrm>
                    <a:prstGeom prst="rect"/>
                  </pic:spPr>
                </pic:pic>
              </a:graphicData>
            </a:graphic>
          </wp:inline>
        </w:drawing>
      </w:r>
    </w:p>
    <w:p>
      <w:pPr>
        <w:jc w:val="center"/>
      </w:pPr>
      <w:r>
        <w:drawing>
          <wp:inline xmlns:a="http://schemas.openxmlformats.org/drawingml/2006/main" xmlns:pic="http://schemas.openxmlformats.org/drawingml/2006/picture">
            <wp:extent cx="6048000" cy="1912268"/>
            <wp:docPr id="3" name="Picture 3"/>
            <wp:cNvGraphicFramePr>
              <a:graphicFrameLocks noChangeAspect="1"/>
            </wp:cNvGraphicFramePr>
            <a:graphic>
              <a:graphicData uri="http://schemas.openxmlformats.org/drawingml/2006/picture">
                <pic:pic>
                  <pic:nvPicPr>
                    <pic:cNvPr id="0" name="_dx_12995.png"/>
                    <pic:cNvPicPr/>
                  </pic:nvPicPr>
                  <pic:blipFill>
                    <a:blip r:embed="rId13"/>
                    <a:stretch>
                      <a:fillRect/>
                    </a:stretch>
                  </pic:blipFill>
                  <pic:spPr>
                    <a:xfrm>
                      <a:off x="0" y="0"/>
                      <a:ext cx="6048000" cy="1912268"/>
                    </a:xfrm>
                    <a:prstGeom prst="rect"/>
                  </pic:spPr>
                </pic:pic>
              </a:graphicData>
            </a:graphic>
          </wp:inline>
        </w:drawing>
      </w:r>
    </w:p>
    <w:p>
      <w:pPr>
        <w:pStyle w:val="Heading3"/>
      </w:pPr>
      <w:r/>
      <w:r>
        <w:rPr>
          <w:rFonts w:ascii="Calibri" w:hAnsi="Calibri" w:eastAsia="맑은 고딕"/>
          <w:b/>
          <w:color w:val="888888"/>
          <w:sz w:val="21"/>
        </w:rPr>
        <w:t>3. HBM3E 12-Hi 공정의 특수성 및 검사 난이도</w:t>
      </w:r>
    </w:p>
    <w:p>
      <w:r>
        <w:rPr>
          <w:rFonts w:ascii="Calibri" w:hAnsi="Calibri" w:eastAsia="맑은 고딕"/>
          <w:b w:val="0"/>
          <w:color w:val="333333"/>
          <w:sz w:val="21"/>
        </w:rPr>
        <w:t>HBM3E 12-Hi는 기존 8단 제품 대비 적층 단수가 증가함에 따라 검사 난이도가 기하급수적으로 상승합니다.</w:t>
      </w:r>
    </w:p>
    <w:tbl>
      <w:tblPr>
        <w:tblW w:type="auto" w:w="0"/>
        <w:jc w:val="center"/>
        <w:tblLayout w:type="fixed"/>
        <w:tblLook w:firstColumn="1" w:firstRow="1" w:lastColumn="0" w:lastRow="0" w:noHBand="0" w:noVBand="1" w:val="04A0"/>
      </w:tblPr>
      <w:tblGrid>
        <w:gridCol w:w="2494"/>
        <w:gridCol w:w="2494"/>
        <w:gridCol w:w="2494"/>
        <w:gridCol w:w="2494"/>
      </w:tblGrid>
      <w:tr>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구분</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8-Hi (HBM3/3E)</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12-Hi (HBM3E)</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검사 영향도</w:t>
            </w:r>
          </w:p>
        </w:tc>
      </w:tr>
      <w:t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**적층 높이(Total THK)**</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상대적 낮음</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약 720μm 이상 예상</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두께 제어 및 Warpage 관리 난이도 상승 [출처: Advanced Packaging for Beyond Memory]</w:t>
            </w:r>
          </w:p>
        </w:tc>
      </w:tr>
      <w:t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**TSV/Bump 밀도**</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고밀도</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초고밀도 (Extreme Density)</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미세 결함(Void) 검출을 위한 해상도 요구사항 증가</w:t>
            </w:r>
          </w:p>
        </w:tc>
      </w:tr>
      <w:t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**열적 스트레스**</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중간</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높음</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적층 후 열팽창 계수 차이에 의한 Delamination 위험 증가</w:t>
            </w:r>
          </w:p>
        </w:tc>
      </w:tr>
    </w:tbl>
    <w:p>
      <w:r>
        <w:rPr>
          <w:rFonts w:ascii="Calibri" w:hAnsi="Calibri" w:eastAsia="맑은 고딕"/>
          <w:b w:val="0"/>
          <w:color w:val="333333"/>
          <w:sz w:val="21"/>
        </w:rPr>
        <w:t xml:space="preserve">특히, 적층 단수가 높아질수록 하단부 다이가 상단부 다이의 무게와 적층 압력을 견뎌야 하므로, </w:t>
      </w:r>
      <w:r>
        <w:rPr>
          <w:rFonts w:ascii="Calibri" w:hAnsi="Calibri" w:eastAsia="맑은 고딕"/>
          <w:b/>
          <w:color w:val="333333"/>
          <w:sz w:val="21"/>
        </w:rPr>
        <w:t>Thermal Scaling(열적 스케일링)</w:t>
      </w:r>
      <w:r>
        <w:rPr>
          <w:rFonts w:ascii="Calibri" w:hAnsi="Calibri" w:eastAsia="맑은 고딕"/>
          <w:b w:val="0"/>
          <w:color w:val="333333"/>
          <w:sz w:val="21"/>
        </w:rPr>
        <w:t xml:space="preserve"> 및 구조적 변형(Warpage)에 대한 검사 강도가 매우 높아집니다. DDR5 대비 테스트 강도가 20~30% 이상 높으며, 12단에서 16단(HBM4)으로 넘어갈수록 검사 항목과 데이터 처리량은 더욱 폭발적으로 증가할 것으로 예측됩니다. [출처: (반도체) HBM 테스트 산업 (ft. 테크윙, 와이씨, 디아이)]</w:t>
      </w:r>
    </w:p>
    <w:p>
      <w:pPr>
        <w:pStyle w:val="Heading3"/>
      </w:pPr>
      <w:r/>
      <w:r>
        <w:rPr>
          <w:rFonts w:ascii="Calibri" w:hAnsi="Calibri" w:eastAsia="맑은 고딕"/>
          <w:b/>
          <w:color w:val="888888"/>
          <w:sz w:val="21"/>
        </w:rPr>
        <w:t>4. 결론: 후공정 검사의 전략적 방향</w:t>
      </w:r>
    </w:p>
    <w:p>
      <w:r>
        <w:rPr>
          <w:rFonts w:ascii="Calibri" w:hAnsi="Calibri" w:eastAsia="맑은 고딕"/>
          <w:b w:val="0"/>
          <w:color w:val="333333"/>
          <w:sz w:val="21"/>
        </w:rPr>
        <w:t xml:space="preserve">적층 및 후공정 단계의 검사는 단순히 '불량을 찾는 것'을 넘어, </w:t>
      </w:r>
      <w:r>
        <w:rPr>
          <w:rFonts w:ascii="Calibri" w:hAnsi="Calibri" w:eastAsia="맑은 고딕"/>
          <w:b/>
          <w:color w:val="333333"/>
          <w:sz w:val="21"/>
        </w:rPr>
        <w:t>'수율(Yield)을 확보하기 위한 데이터 기반의 공정 제어'</w:t>
      </w:r>
      <w:r>
        <w:rPr>
          <w:rFonts w:ascii="Calibri" w:hAnsi="Calibri" w:eastAsia="맑은 고딕"/>
          <w:b w:val="0"/>
          <w:color w:val="333333"/>
          <w:sz w:val="21"/>
        </w:rPr>
        <w:t xml:space="preserve"> 단계로 진화해야 합니다. X-ray/CT를 통한 비파괴 검사 데이터와 3D SPI의 정밀 측정 데이터를 통합 분석함으로써, 적층 과정에서 발생하는 불량의 근본 원인(Root Cause)을 역추적할 수 있는 시스템 구축이 필수적입니다. 이는 향후 Hybrid Bonding 기술이 도입될 HBM4 공정에서 더욱 결정적인 역할을 하게 될 것입니다. [출처: (주)크레셈 기업 분석 보고서]</w:t>
      </w:r>
    </w:p>
    <w:p>
      <w:pPr>
        <w:pStyle w:val="Heading2"/>
      </w:pPr>
      <w:r/>
      <w:r>
        <w:rPr>
          <w:rFonts w:ascii="Calibri" w:hAnsi="Calibri" w:eastAsia="맑은 고딕"/>
          <w:b/>
          <w:color w:val="333333"/>
          <w:sz w:val="24"/>
        </w:rPr>
        <w:t>최종 신뢰성 및 기능 테스트 (Final Test)</w:t>
      </w:r>
    </w:p>
    <w:p>
      <w:r>
        <w:rPr>
          <w:rFonts w:ascii="Calibri" w:hAnsi="Calibri" w:eastAsia="맑은 고딕"/>
          <w:b w:val="0"/>
          <w:color w:val="333333"/>
          <w:sz w:val="21"/>
        </w:rPr>
        <w:t>HBM3E 12-Hi와 같은 고단 적층 제품은 적층 공정(Stacking)을 거쳐 물리적 구조가 완성된 후, 실제 시스템(GPU, AI 가속기 등)에 탑재되어 동작하기 직전의 최종 단계에서 제품의 기능적 완결성을 검증받아야 합니다. 이 단계는 단순히 개별 다이(Die)의 불량을 찾는 것을 넘어, 수직으로 연결된 수천 개의 TSV(Through Silicon Via)와 마이크로 범프(Micro-bump)가 고속 데이터 전송 환경에서 신호 무결성을 유지하는지, 그리고 적층 구조가 열적 스트레스를 견딜 수 있는지를 종합적으로 판단하는 과정입니다.</w:t>
      </w:r>
    </w:p>
    <w:p>
      <w:pPr>
        <w:pStyle w:val="Heading3"/>
      </w:pPr>
      <w:r/>
      <w:r>
        <w:rPr>
          <w:rFonts w:ascii="Calibri" w:hAnsi="Calibri" w:eastAsia="맑은 고딕"/>
          <w:b/>
          <w:color w:val="888888"/>
          <w:sz w:val="21"/>
        </w:rPr>
        <w:t>1. 전기적 특성 검사 (Electrical Characterization)</w:t>
      </w:r>
    </w:p>
    <w:p>
      <w:r>
        <w:rPr>
          <w:rFonts w:ascii="Calibri" w:hAnsi="Calibri" w:eastAsia="맑은 고딕"/>
          <w:b w:val="0"/>
          <w:color w:val="333333"/>
          <w:sz w:val="21"/>
        </w:rPr>
        <w:t>HBM3E는 12단 적층을 통해 극대화된 대역폭(Bandwidth)을 제공하므로, 초고속 신호 전달 시 발생할 수 있는 전기적 결함을 잡아내는 것이 핵심입니다. HBM3E 12-Hi 제품은 핀당 데이터 전송 속도가 9.2Gbps를 상회하며, 스택 전체로는 1.2TB/s 이상의 대역폭을 목표로 하기 때문에 매우 정밀한 전기적 검사가 요구됩니다 [출처: blogs.sw.siemens.com], [출처: micron.com].</w:t>
      </w:r>
    </w:p>
    <w:p>
      <w:pPr>
        <w:ind w:left="283"/>
      </w:pPr>
      <w:r>
        <w:rPr>
          <w:rFonts w:ascii="Calibri" w:hAnsi="Calibri" w:eastAsia="맑은 고딕"/>
          <w:b w:val="0"/>
          <w:color w:val="333333"/>
          <w:sz w:val="21"/>
        </w:rPr>
        <w:t>•   **신호 무결성 (Signal Integrity, SI) 검사**: 고속 데이터 전송 시 신호의 왜곡, 반사(Reflection), 크로스토크(Crosstalk) 등을 측정합니다. 특히 Eye Diagram 분석을 통해 Eye Height와 Eye Width가 규격(Specification) 내에 들어오는지 확인하여, 데이터 전송 시 비트 에러율(Bit Error Rate, BER)이 허용 범위 내에 있는지 검증합니다 [출처: pdfHBMHighBandwidt20260508001.pdf].</w:t>
      </w:r>
    </w:p>
    <w:p>
      <w:pPr>
        <w:ind w:left="283"/>
      </w:pPr>
      <w:r>
        <w:rPr>
          <w:rFonts w:ascii="Calibri" w:hAnsi="Calibri" w:eastAsia="맑은 고딕"/>
          <w:b w:val="0"/>
          <w:color w:val="333333"/>
          <w:sz w:val="21"/>
        </w:rPr>
        <w:t>•   **전력 무결성 (Power Integrity, PI) 검사**: 12단 적층 구조 내에서 전압 강하(IR Drop)가 발생하지 않는지, 전력 공급망(Power Delivery Network, PDN)이 안정적인지를 확인합니다. 특히 고부하 동작 시 전압 변동폭이 VDD 규격(예: 1.1V ± 5%)을 벗어나지 않아야 합니다 [출처: pdfHBMHighBandwidt20260508001.pdf].</w:t>
      </w:r>
    </w:p>
    <w:p>
      <w:pPr>
        <w:ind w:left="283"/>
      </w:pPr>
      <w:r>
        <w:rPr>
          <w:rFonts w:ascii="Calibri" w:hAnsi="Calibri" w:eastAsia="맑은 고딕"/>
          <w:b w:val="0"/>
          <w:color w:val="333333"/>
          <w:sz w:val="21"/>
        </w:rPr>
        <w:t>•   **I/O 및 TSV 연결성 검사**: 적층된 다이 간의 통신 채널(1024-bit wide interface 등)이 모두 정상적으로 연결되었는지, 특정 채널에서 단락(Short)이나 개방(Open)이 발생하지 않았는지 전수 검사합니다 [출처: blogs.sw.siemens.com].</w:t>
      </w:r>
    </w:p>
    <w:p>
      <w:pPr>
        <w:pStyle w:val="Heading3"/>
      </w:pPr>
      <w:r/>
      <w:r>
        <w:rPr>
          <w:rFonts w:ascii="Calibri" w:hAnsi="Calibri" w:eastAsia="맑은 고딕"/>
          <w:b/>
          <w:color w:val="888888"/>
          <w:sz w:val="21"/>
        </w:rPr>
        <w:t>2. 열적 안정성 및 신뢰성 테스트 (Thermal &amp; Reliability Test)</w:t>
      </w:r>
    </w:p>
    <w:p>
      <w:r>
        <w:rPr>
          <w:rFonts w:ascii="Calibri" w:hAnsi="Calibri" w:eastAsia="맑은 고딕"/>
          <w:b w:val="0"/>
          <w:color w:val="333333"/>
          <w:sz w:val="21"/>
        </w:rPr>
        <w:t>HBM3E 12-Hi는 적층 단수가 높아짐에 따라 내부 열 방출(Heat Dissipation) 효율이 급격히 저하될 위험이 있습니다. 따라서 극한의 온도 환경에서도 데이터 무결성이 유지되는지 확인하는 것이 필수적입니다.</w:t>
      </w:r>
    </w:p>
    <w:p>
      <w:pPr>
        <w:ind w:left="283"/>
      </w:pPr>
      <w:r>
        <w:rPr>
          <w:rFonts w:ascii="Calibri" w:hAnsi="Calibri" w:eastAsia="맑은 고딕"/>
          <w:b w:val="0"/>
          <w:color w:val="333333"/>
          <w:sz w:val="21"/>
        </w:rPr>
        <w:t>•   **Hot/Cold Test (온도 변동 테스트)**: 제품의 동작 범위를 보장하기 위해 고온(125°\text{C} 이상) 및 저온(-40°\text{C} 이하) 환경을 조성하여 테스트를 수행합니다 [출처: 매뉴얼HBM검사및테스트공정가이드라인20260509001.pdf]. 고온 환경에서는 열에 의한 누설 전류(Leakage Current) 증가와 신호 지연을, 저온 환경에서는 전기적 특성 변화를 집중적으로 모니터링합니다.</w:t>
      </w:r>
    </w:p>
    <w:p>
      <w:pPr>
        <w:ind w:left="283"/>
      </w:pPr>
      <w:r>
        <w:rPr>
          <w:rFonts w:ascii="Calibri" w:hAnsi="Calibri" w:eastAsia="맑은 고딕"/>
          <w:b w:val="0"/>
          <w:color w:val="333333"/>
          <w:sz w:val="21"/>
        </w:rPr>
        <w:t>•   **Thermal Scaling 및 열 방출 효율 검증**: 12단 적층 구조 내부에 축적되는 열이 상단부까지 효과적으로 전달되거나 외부로 방출되는지 검증합니다. 적층 구조의 밀도가 높아질수록 Thermal Scaling 스펙이 까다로워지며, 이는 테스트 강도와 복잡성을 심화시키는 주요 요인이 됩니다 [출처: m.blog.naver.com].</w:t>
      </w:r>
    </w:p>
    <w:p>
      <w:pPr>
        <w:ind w:left="283"/>
      </w:pPr>
      <w:r>
        <w:rPr>
          <w:rFonts w:ascii="Calibri" w:hAnsi="Calibri" w:eastAsia="맑은 고딕"/>
          <w:b w:val="0"/>
          <w:color w:val="333333"/>
          <w:sz w:val="21"/>
        </w:rPr>
        <w:t>•   **Burn-in Test (번인 테스트)**: 가속 수명 시험의 일환으로, 고온 및 고전압 스트레스를 일정 시간 인가하여 잠재적인 초기 불량(Infant Mortality)을 강제로 유도하고 제거합니다 [출처: 매뉴얼HBM검사및테스트공정가이드라인20260509001.pdf].</w:t>
      </w:r>
    </w:p>
    <w:p>
      <w:pPr>
        <w:pStyle w:val="Heading3"/>
      </w:pPr>
      <w:r/>
      <w:r>
        <w:rPr>
          <w:rFonts w:ascii="Calibri" w:hAnsi="Calibri" w:eastAsia="맑은 고딕"/>
          <w:b/>
          <w:color w:val="888888"/>
          <w:sz w:val="21"/>
        </w:rPr>
        <w:t>3. 최종 검사 항목 요약 및 비교</w:t>
      </w:r>
    </w:p>
    <w:p>
      <w:r>
        <w:rPr>
          <w:rFonts w:ascii="Calibri" w:hAnsi="Calibri" w:eastAsia="맑은 고딕"/>
          <w:b w:val="0"/>
          <w:color w:val="333333"/>
          <w:sz w:val="21"/>
        </w:rPr>
        <w:t>최종 테스트 단계에서 수행되는 주요 항목을 기술적 관점에서 정리하면 다음과 같습니다.</w:t>
      </w:r>
    </w:p>
    <w:tbl>
      <w:tblPr>
        <w:tblW w:type="auto" w:w="0"/>
        <w:jc w:val="center"/>
        <w:tblLayout w:type="fixed"/>
        <w:tblLook w:firstColumn="1" w:firstRow="1" w:lastColumn="0" w:lastRow="0" w:noHBand="0" w:noVBand="1" w:val="04A0"/>
      </w:tblPr>
      <w:tblGrid>
        <w:gridCol w:w="2494"/>
        <w:gridCol w:w="2494"/>
        <w:gridCol w:w="2494"/>
        <w:gridCol w:w="2494"/>
      </w:tblGrid>
      <w:tr>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검사 분류</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주요 검사 항목 (Test Item)</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핵심 검증 목적 (Objective)</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관련 기술 지표</w:t>
            </w:r>
          </w:p>
        </w:tc>
      </w:tr>
      <w:t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**Electrical**</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Signal Integrity (SI)</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고속 데이터 전송 시 신호 왜곡 방지</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Eye Diagram, BER</w:t>
            </w:r>
          </w:p>
        </w:tc>
      </w:tr>
      <w:t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Power Integrity (PI)</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안정적인 전압 공급 및 전력 노이즈 제어</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VDD Stability, IR Drop</w:t>
            </w:r>
          </w:p>
        </w:tc>
      </w:tr>
      <w:t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I/O Connectivity</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TSV 및 마이크로 범프 연결 신뢰성 확보</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Continuity, Open/Short</w:t>
            </w:r>
          </w:p>
        </w:tc>
      </w:tr>
      <w:t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**Thermal**</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Hot/Cold Test</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극한 온도 환경에서의 동작 안정성</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Operating Temp Range</w:t>
            </w:r>
          </w:p>
        </w:tc>
      </w:tr>
      <w:t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Thermal Dissipation</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고단 적층 구조의 열 관리 능력 검증</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Thermal Resistance</w:t>
            </w:r>
          </w:p>
        </w:tc>
      </w:tr>
      <w:t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**Functional**</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Read/Write Test</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데이터 저장 및 인출의 정확성 검증</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Error Rate, Bandwidth</w:t>
            </w:r>
          </w:p>
        </w:tc>
      </w:tr>
    </w:tbl>
    <w:p>
      <w:r>
        <w:rPr>
          <w:rFonts w:ascii="Calibri" w:hAnsi="Calibri" w:eastAsia="맑은 고딕"/>
          <w:b w:val="0"/>
          <w:color w:val="333333"/>
          <w:sz w:val="21"/>
        </w:rPr>
        <w:t>HBM3E 12-Hi의 최종 테스트는 단순한 Pass/Fail 판정을 넘어, 고객사(AI 가속기 제조사 등)가 요구하는 엄격한 신뢰성 기준을 충족하기 위해 고속 프로브 카드(High-Speed Probe Card)와 고성능 테스터를 활용한 정밀한 측정 데이터 확보가 핵심입니다. 이는 향후 16단 이상의 HBM4로 진입함에 따라 더욱 가혹한 환경에서의 테스트 요구사항으로 이어질 전망입니다 [출처: 보고서_삼성전자HBM4전환에따른검사기술동향및대응전략20260509001.pdf].</w:t>
      </w:r>
    </w:p>
    <w:p>
      <w:pPr>
        <w:pStyle w:val="Heading2"/>
      </w:pPr>
      <w:r/>
      <w:r>
        <w:rPr>
          <w:rFonts w:ascii="Calibri" w:hAnsi="Calibri" w:eastAsia="맑은 고딕"/>
          <w:b/>
          <w:color w:val="333333"/>
          <w:sz w:val="24"/>
        </w:rPr>
        <w:t>고단 적층(12-Hi 이상) 시 주요 검사 이슈 및 대응</w:t>
      </w:r>
    </w:p>
    <w:p>
      <w:r>
        <w:rPr>
          <w:rFonts w:ascii="Calibri" w:hAnsi="Calibri" w:eastAsia="맑은 고딕"/>
          <w:b w:val="0"/>
          <w:color w:val="333333"/>
          <w:sz w:val="21"/>
        </w:rPr>
        <w:t>HBM3E 12단(12-Hi) 적층 구조를 넘어 향후 HBM4에서 도입될 16단(16-Hi) 이상의 초고단 적층 시대로 진입함에 따라, 반도체 패키징 공정의 물리적·전기적 난이도는 기하급수적으로 상승하고 있습니다. 적층 단수가 높아질수록 개별 다이(Die)의 두께는 얇아지는 반면, 전체 스택(Stack)의 높이는 증가하여 물리적 불안정성이 심화됩니다. 본 섹션에서는 고단 적층 구조에서 발생하는 핵심 기술적 이슈인 Warpage(휘어짐), Thermal Scaling(열적 스케일링), 그리고 이에 따른 수율 관리(Yield Management) 전략을 심층 분석합니다.</w:t>
      </w:r>
    </w:p>
    <w:p>
      <w:pPr>
        <w:pStyle w:val="Heading3"/>
      </w:pPr>
      <w:r/>
      <w:r>
        <w:rPr>
          <w:rFonts w:ascii="Calibri" w:hAnsi="Calibri" w:eastAsia="맑은 고딕"/>
          <w:b/>
          <w:color w:val="888888"/>
          <w:sz w:val="21"/>
        </w:rPr>
        <w:t>1. Warpage(휘어짐) 이슈 및 정밀 제어 기술</w:t>
      </w:r>
    </w:p>
    <w:p>
      <w:r>
        <w:rPr>
          <w:rFonts w:ascii="Calibri" w:hAnsi="Calibri" w:eastAsia="맑은 고딕"/>
          <w:b w:val="0"/>
          <w:color w:val="333333"/>
          <w:sz w:val="21"/>
        </w:rPr>
        <w:t xml:space="preserve">적층 단수가 증가함에 따라 발생하는 가장 치명적인 물리적 결함 중 하나는 </w:t>
      </w:r>
      <w:r>
        <w:rPr>
          <w:rFonts w:ascii="Calibri" w:hAnsi="Calibri" w:eastAsia="맑은 고딕"/>
          <w:b/>
          <w:color w:val="333333"/>
          <w:sz w:val="21"/>
        </w:rPr>
        <w:t>Warpage(휘어짐)</w:t>
      </w:r>
      <w:r>
        <w:rPr>
          <w:rFonts w:ascii="Calibri" w:hAnsi="Calibri" w:eastAsia="맑은 고딕"/>
          <w:b w:val="0"/>
          <w:color w:val="333333"/>
          <w:sz w:val="21"/>
        </w:rPr>
        <w:t>입니다. 이는 적층 과정에서 발생하는 재료 간의 열팽창 계수(Coefficient of Thermal Expansion, CTE) 차이와 적층 시 가해지는 압력, 그리고 공정 후 냉각 과정에서의 잔류 응력(Residual Stress)에 의해 발생합니다 [기술 보고서: 삼성전자 HBM4전환에따른검사기술동향및대응전략20260509001.pdf].</w:t>
      </w:r>
    </w:p>
    <w:p>
      <w:r>
        <w:rPr>
          <w:rFonts w:ascii="Calibri" w:hAnsi="Calibri" w:eastAsia="맑은 고딕"/>
          <w:b/>
          <w:color w:val="333333"/>
          <w:sz w:val="21"/>
        </w:rPr>
        <w:t>1.1. Warpage 발생 원인 및 메커니즘</w:t>
      </w:r>
    </w:p>
    <w:p>
      <w:pPr>
        <w:ind w:left="283"/>
      </w:pPr>
      <w:r>
        <w:rPr>
          <w:rFonts w:ascii="Calibri" w:hAnsi="Calibri" w:eastAsia="맑은 고딕"/>
          <w:b w:val="0"/>
          <w:color w:val="333333"/>
          <w:sz w:val="21"/>
        </w:rPr>
        <w:t>•   **CTE Mismatch (열팽창 계수 불일치):** 실리콘(Si) 다이, 마이크로 범프(Micro-bump), 그리고 적층을 위한 언더필(Underfill) 또는 NCF(Non-Conductive Film) 소재 간의 열팽창 계수가 서로 다르기 때문에, 고온 공정 후 냉각 시 각 층에 서로 다른 응력이 축적됩니다.</w:t>
      </w:r>
    </w:p>
    <w:p>
      <w:pPr>
        <w:ind w:left="283"/>
      </w:pPr>
      <w:r>
        <w:rPr>
          <w:rFonts w:ascii="Calibri" w:hAnsi="Calibri" w:eastAsia="맑은 고딕"/>
          <w:b w:val="0"/>
          <w:color w:val="333333"/>
          <w:sz w:val="21"/>
        </w:rPr>
        <w:t>•   **Stacking Unbalance (적층 불균형):** 12단 이상의 고단 구조에서는 미세한 적층 오차가 누적되어 전체 스택의 기하학적 변형을 유발하며, 이는 결과적으로 패키지 전체의 휘어짐으로 나타납니다 [매뉴얼: HBM검사및테스트공정가이드라인20260509001.pdf].</w:t>
      </w:r>
    </w:p>
    <w:p>
      <w:r>
        <w:rPr>
          <w:rFonts w:ascii="Calibri" w:hAnsi="Calibri" w:eastAsia="맑은 고딕"/>
          <w:b/>
          <w:color w:val="333333"/>
          <w:sz w:val="21"/>
        </w:rPr>
        <w:t>1.2. 검사 및 대응 기술</w:t>
      </w:r>
    </w:p>
    <w:p>
      <w:r>
        <w:rPr>
          <w:rFonts w:ascii="Calibri" w:hAnsi="Calibri" w:eastAsia="맑은 고딕"/>
          <w:b w:val="0"/>
          <w:color w:val="333333"/>
          <w:sz w:val="21"/>
        </w:rPr>
        <w:t>Warpage는 단순히 외형적 변형에 그치지 않고, TSV(Through Silicon Via)의 연결성 저하, 범프의 탈락(Bump Cracking), 혹은 층간 분리(Delamination)를 초래할 수 있습니다.</w:t>
      </w:r>
    </w:p>
    <w:p>
      <w:pPr>
        <w:ind w:left="283"/>
      </w:pPr>
      <w:r>
        <w:rPr>
          <w:rFonts w:ascii="Calibri" w:hAnsi="Calibri" w:eastAsia="맑은 고딕"/>
          <w:b w:val="0"/>
          <w:color w:val="333333"/>
          <w:sz w:val="21"/>
        </w:rPr>
        <w:t>•   **3D AOI 및 정밀 형상 측정:** 고해상도 광학 시스템을 활용하여 패키지의 평탄도(Flatness)를 실시간으로 측정하고, 적층 단계별로 Warpage 발생 추이를 모니터링해야 합니다.</w:t>
      </w:r>
    </w:p>
    <w:p>
      <w:pPr>
        <w:ind w:left="283"/>
      </w:pPr>
      <w:r>
        <w:rPr>
          <w:rFonts w:ascii="Calibri" w:hAnsi="Calibri" w:eastAsia="맑은 고딕"/>
          <w:b w:val="0"/>
          <w:color w:val="333333"/>
          <w:sz w:val="21"/>
        </w:rPr>
        <w:t>•   **Warpage 예측 모델링:** 검사 데이터를 기반으로 적층 단수에 따른 휘어짐 정도를 사전에 예측하여, 공정 조건(온도, 압력, 시간)을 최적화하는 피드백 루프 구축이 필수적입니다 [기업 분석 보고서: (주)크레셈 (CRESSEM)20260509001.pdf].</w:t>
      </w:r>
    </w:p>
    <w:p>
      <w:pPr>
        <w:pStyle w:val="Heading3"/>
      </w:pPr>
      <w:r/>
      <w:r>
        <w:rPr>
          <w:rFonts w:ascii="Calibri" w:hAnsi="Calibri" w:eastAsia="맑은 고딕"/>
          <w:b/>
          <w:color w:val="888888"/>
          <w:sz w:val="21"/>
        </w:rPr>
        <w:t>2. Thermal Scaling(열적 스케일링) 및 방열 관리 이슈</w:t>
      </w:r>
    </w:p>
    <w:p>
      <w:r>
        <w:rPr>
          <w:rFonts w:ascii="Calibri" w:hAnsi="Calibri" w:eastAsia="맑은 고딕"/>
          <w:b w:val="0"/>
          <w:color w:val="333333"/>
          <w:sz w:val="21"/>
        </w:rPr>
        <w:t xml:space="preserve">HBM3E 12단 제품은 1TB/s에 달하는 압도적인 대역폭을 제공하며, 이는 곧 막대한 데이터 처리량과 함께 필연적인 발열 문제를 동반합니다 [출처: SK하이닉스 뉴스룸]. 적층 단수가 높아질수록 내부에서 발생하는 열이 외부로 방출되는 경로가 길어지고 복잡해지며, 이로 인해 발생하는 </w:t>
      </w:r>
      <w:r>
        <w:rPr>
          <w:rFonts w:ascii="Calibri" w:hAnsi="Calibri" w:eastAsia="맑은 고딕"/>
          <w:b/>
          <w:color w:val="333333"/>
          <w:sz w:val="21"/>
        </w:rPr>
        <w:t>Thermal Scaling(열적 스케일링)</w:t>
      </w:r>
      <w:r>
        <w:rPr>
          <w:rFonts w:ascii="Calibri" w:hAnsi="Calibri" w:eastAsia="맑은 고딕"/>
          <w:b w:val="0"/>
          <w:color w:val="333333"/>
          <w:sz w:val="21"/>
        </w:rPr>
        <w:t xml:space="preserve"> 이슈는 제품의 신뢰성을 결정짓는 핵심 요소입니다.</w:t>
      </w:r>
    </w:p>
    <w:p>
      <w:r>
        <w:rPr>
          <w:rFonts w:ascii="Calibri" w:hAnsi="Calibri" w:eastAsia="맑은 고딕"/>
          <w:b/>
          <w:color w:val="333333"/>
          <w:sz w:val="21"/>
        </w:rPr>
        <w:t>2.1. 열적 부하의 복잡성 증가</w:t>
      </w:r>
    </w:p>
    <w:p>
      <w:pPr>
        <w:ind w:left="283"/>
      </w:pPr>
      <w:r>
        <w:rPr>
          <w:rFonts w:ascii="Calibri" w:hAnsi="Calibri" w:eastAsia="맑은 고딕"/>
          <w:b w:val="0"/>
          <w:color w:val="333333"/>
          <w:sz w:val="21"/>
        </w:rPr>
        <w:t>•   **Thermal Resistance(열 저항) 상승:** 다이가 수직으로 길게 쌓일수록 하단부 다이에서 발생하는 열이 상단부로 전달되거나 외부로 방출되는 과정에서 열 저항이 급격히 증가합니다. 이는 내부 온도 상승을 유발하여 소자의 동작 속도를 저하시키거나 데이터 오류를 발생시키는 원인이 됩니다.</w:t>
      </w:r>
    </w:p>
    <w:p>
      <w:pPr>
        <w:ind w:left="283"/>
      </w:pPr>
      <w:r>
        <w:rPr>
          <w:rFonts w:ascii="Calibri" w:hAnsi="Calibri" w:eastAsia="맑은 고딕"/>
          <w:b w:val="0"/>
          <w:color w:val="333333"/>
          <w:sz w:val="21"/>
        </w:rPr>
        <w:t>•   **Thermal Stress에 의한 신뢰성 저하:** 고온 동작 환경(Hot Test)에서 발생하는 열적 변형은 TSV 접합부의 기계적 피로도를 높여, 장기적인 신뢰성(Reliability)을 저해합니다 [매뉴얼: HBM검사및테스트공정가이드라인20260509001.pdf].</w:t>
      </w:r>
    </w:p>
    <w:p>
      <w:r>
        <w:rPr>
          <w:rFonts w:ascii="Calibri" w:hAnsi="Calibri" w:eastAsia="맑은 고딕"/>
          <w:b/>
          <w:color w:val="333333"/>
          <w:sz w:val="21"/>
        </w:rPr>
        <w:t>2.2. 고난도 테스트 및 검사 대응</w:t>
      </w:r>
    </w:p>
    <w:p>
      <w:pPr>
        <w:ind w:left="283"/>
      </w:pPr>
      <w:r>
        <w:rPr>
          <w:rFonts w:ascii="Calibri" w:hAnsi="Calibri" w:eastAsia="맑은 고딕"/>
          <w:b w:val="0"/>
          <w:color w:val="333333"/>
          <w:sz w:val="21"/>
        </w:rPr>
        <w:t>•   **Extreme Temperature Test (극한 온도 테스트):** HBM의 신뢰성을 확보하기 위해 -40°C에서 125°C 이상의 극한 환경에서 동작 안정성을 검증하는 Hot/Cold Test의 강도가 더욱 높아지고 있습니다 [매뉴얼: HBM검사및테스트공정가이드라인20260509001.pdf].</w:t>
      </w:r>
    </w:p>
    <w:p>
      <w:pPr>
        <w:ind w:left="283"/>
      </w:pPr>
      <w:r>
        <w:rPr>
          <w:rFonts w:ascii="Calibri" w:hAnsi="Calibri" w:eastAsia="맑은 고딕"/>
          <w:b w:val="0"/>
          <w:color w:val="333333"/>
          <w:sz w:val="21"/>
        </w:rPr>
        <w:t>•   **High-Speed/High-Power Test:** 고단 적층 제품은 DDR5 대비 테스트 강도가 20~30% 이상 높으며, 특히 고속 신호 전달 시의 Signal Integrity(SI)와 전력 무결성(PI)을 동시에 검증할 수 있는 하이 스피드 테스트 환경이 요구됩니다 [출처: 네이버 블로그 - (반도체) HBM 테스트 산업].</w:t>
      </w:r>
    </w:p>
    <w:p>
      <w:pPr>
        <w:pStyle w:val="Heading3"/>
      </w:pPr>
      <w:r/>
      <w:r>
        <w:rPr>
          <w:rFonts w:ascii="Calibri" w:hAnsi="Calibri" w:eastAsia="맑은 고딕"/>
          <w:b/>
          <w:color w:val="888888"/>
          <w:sz w:val="21"/>
        </w:rPr>
        <w:t>3. Yield Management(수율 관리) 최적화 전략</w:t>
      </w:r>
    </w:p>
    <w:p>
      <w:r>
        <w:rPr>
          <w:rFonts w:ascii="Calibri" w:hAnsi="Calibri" w:eastAsia="맑은 고딕"/>
          <w:b w:val="0"/>
          <w:color w:val="333333"/>
          <w:sz w:val="21"/>
        </w:rPr>
        <w:t xml:space="preserve">고단 적층 공정은 '단 한 번의 실수'가 전체 스택의 폐기로 이어지는 구조를 가지고 있습니다. 12단 이상의 제품은 적층 전 개별 다이의 품질이 완벽해야 하는 </w:t>
      </w:r>
      <w:r>
        <w:rPr>
          <w:rFonts w:ascii="Calibri" w:hAnsi="Calibri" w:eastAsia="맑은 고딕"/>
          <w:b/>
          <w:color w:val="333333"/>
          <w:sz w:val="21"/>
        </w:rPr>
        <w:t>Known Good Die (KGD)</w:t>
      </w:r>
      <w:r>
        <w:rPr>
          <w:rFonts w:ascii="Calibri" w:hAnsi="Calibri" w:eastAsia="맑은 고딕"/>
          <w:b w:val="0"/>
          <w:color w:val="333333"/>
          <w:sz w:val="21"/>
        </w:rPr>
        <w:t xml:space="preserve"> 확보가 수율 관리의 핵심입니다 [기술 보고서: 삼성전자 HBM4전환에따른검사기술동향및대응전략20260509001.pdf].</w:t>
      </w:r>
    </w:p>
    <w:p>
      <w:r>
        <w:rPr>
          <w:rFonts w:ascii="Calibri" w:hAnsi="Calibri" w:eastAsia="맑은 고딕"/>
          <w:b/>
          <w:color w:val="333333"/>
          <w:sz w:val="21"/>
        </w:rPr>
        <w:t>3.1. 수율 저하 요인 분석</w:t>
      </w:r>
    </w:p>
    <w:tbl>
      <w:tblPr>
        <w:tblW w:type="auto" w:w="0"/>
        <w:jc w:val="center"/>
        <w:tblLayout w:type="fixed"/>
        <w:tblLook w:firstColumn="1" w:firstRow="1" w:lastColumn="0" w:lastRow="0" w:noHBand="0" w:noVBand="1" w:val="04A0"/>
      </w:tblPr>
      <w:tblGrid>
        <w:gridCol w:w="3326"/>
        <w:gridCol w:w="3326"/>
        <w:gridCol w:w="3326"/>
      </w:tblGrid>
      <w:tr>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구분</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주요 결함 유형</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영향 및 결과</w:t>
            </w:r>
          </w:p>
        </w:tc>
      </w:tr>
      <w:t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**Pre-stacking**</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TSV 결함, Micro-bump 불량</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적층 후 전체 스택 폐기 (Cost 상승)</w:t>
            </w:r>
          </w:p>
        </w:tc>
      </w:tr>
      <w:t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**Stacking**</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Misalignment, Void, Delamination</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전기적 연결 실패 및 물리적 구조 붕괴</w:t>
            </w:r>
          </w:p>
        </w:tc>
      </w:tr>
      <w:t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**Post-assembly**</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Warpage, Thermal Stress</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신뢰성 테스트 탈락 및 조기 불량 발생</w:t>
            </w:r>
          </w:p>
        </w:tc>
      </w:tr>
    </w:tbl>
    <w:p>
      <w:r>
        <w:rPr>
          <w:rFonts w:ascii="Calibri" w:hAnsi="Calibri" w:eastAsia="맑은 고딕"/>
          <w:b/>
          <w:color w:val="333333"/>
          <w:sz w:val="21"/>
        </w:rPr>
        <w:t>3.2. 차세대 수율 향상 솔루션</w:t>
      </w:r>
    </w:p>
    <w:p>
      <w:pPr>
        <w:ind w:left="283"/>
      </w:pPr>
      <w:r>
        <w:rPr>
          <w:rFonts w:ascii="Calibri" w:hAnsi="Calibri" w:eastAsia="맑은 고딕"/>
          <w:b w:val="0"/>
          <w:color w:val="333333"/>
          <w:sz w:val="21"/>
        </w:rPr>
        <w:t>•   **AI 기반 결함 분류 (AI-Driven Defect Classification):** 검사 데이터량이 폭증함에 따라, 단순 Rule-based 검사로는 한계가 있습니다. 딥러닝 알고리즘을 통해 미세 결함(Defect)과 정상적인 노이즈를 구분하여 과검(Over-kill)을 줄이고, 실제 불량만을 정확히 잡아내는 AI 비전 솔루션이 필수적입니다 [기업 분석 보고서: (주)크레셈 (CRESSEM)20260509001.pdf].</w:t>
      </w:r>
    </w:p>
    <w:p>
      <w:pPr>
        <w:ind w:left="283"/>
      </w:pPr>
      <w:r>
        <w:rPr>
          <w:rFonts w:ascii="Calibri" w:hAnsi="Calibri" w:eastAsia="맑은 고딕"/>
          <w:b w:val="0"/>
          <w:color w:val="333333"/>
          <w:sz w:val="21"/>
        </w:rPr>
        <w:t>•   **Root Cause Analysis (원인 역추적):** 단순히 불량을 판정하는 것을 넘어, 검사 데이터를 분석하여 공정상의 어떤 단계에서 결함이 유입되었는지 역추적하는 데이터 분석 솔루션을 통해 공정 자체의 수율을 개선하는 스마트 팩토리 구현이 요구됩니다 [기업 분석 보고서: (주)크레셈 (CRESSEM)20260509001.pdf].</w:t>
      </w:r>
    </w:p>
    <w:p>
      <w:pPr>
        <w:ind w:left="283"/>
      </w:pPr>
      <w:r>
        <w:rPr>
          <w:rFonts w:ascii="Calibri" w:hAnsi="Calibri" w:eastAsia="맑은 고딕"/>
          <w:b w:val="0"/>
          <w:color w:val="333333"/>
          <w:sz w:val="21"/>
        </w:rPr>
        <w:t>•   **Hybrid Bonding 대응:** 향후 HBM4로 진입하며 도입될 Hybrid Bonding(Cu-to-Cu) 기술은 범프(Bump)가 없는 접합 구조를 가지므로, 기존 방식보다 훨씬 높은 정밀도의 정렬(Alignment) 검사 및 미세 이물질(Particle) 검사 기술이 수율 확보의 관건이 될 것입니다 [기술 보고서: 삼성전자 HBM4전환에따른검사기술동향및대응전략20260509001.pdf].</w:t>
      </w:r>
    </w:p>
    <w:p>
      <w:pPr>
        <w:pStyle w:val="Heading2"/>
      </w:pPr>
      <w:r/>
      <w:r>
        <w:rPr>
          <w:rFonts w:ascii="Calibri" w:hAnsi="Calibri" w:eastAsia="맑은 고딕"/>
          <w:b/>
          <w:color w:val="333333"/>
          <w:sz w:val="24"/>
        </w:rPr>
        <w:t>결론 및 시사점</w:t>
      </w:r>
    </w:p>
    <w:p>
      <w:r>
        <w:rPr>
          <w:rFonts w:ascii="Calibri" w:hAnsi="Calibri" w:eastAsia="맑은 고딕"/>
          <w:b w:val="0"/>
          <w:color w:val="333333"/>
          <w:sz w:val="21"/>
        </w:rPr>
        <w:t>HBM3E 12-Hi(12단 적층) 구조의 도입은 AI 가속기 및 고성능 컴퓨팅(HPC) 시장의 폭발적인 수요에 대응하기 위한 필수적인 기술적 진보이며, 이는 동시에 반도체 검사 공정의 난이도를 기하급수적으로 상승시키는 결과를 초래하였습니다. 본 보고서에서 분석한 바와 같이, 12단 적층 구조는 기존 8단 대비 높은 데이터 대역폭(1TB/s 급)과 용량(36GB 수준)을 제공하지만, 물리적 두께 제어와 적층 정밀도 측면에서 매우 까다로운 기술적 요구사항을 동반합니다 [출처: news.skhynix.co.kr].</w:t>
      </w:r>
    </w:p>
    <w:p>
      <w:r>
        <w:rPr>
          <w:rFonts w:ascii="Calibri" w:hAnsi="Calibri" w:eastAsia="맑은 고딕"/>
          <w:b w:val="0"/>
          <w:color w:val="333333"/>
          <w:sz w:val="21"/>
        </w:rPr>
        <w:t>따라서 향후 HBM 검사 전략(Inspection Strategy)은 단순한 불량 검출을 넘어, 수율 최적화(Yield Optimization)를 위한 통합적 솔루션으로 진화해야 합니다. 특히 적층 단수가 높아짐에 따라 발생하는 Warpage(휘어짐) 현상과 Thermal Scaling(열적 스케일링) 이슈를 선제적으로 관리하기 위해서는, 전공정(Pre-stacking)에서의 Known Good Die(KGD) 확보와 후공정에서의 비파괴 검사(X-ray/CT) 및 고속 전기적 특성 검사가 유기적으로 결합되어야 합니다 [출처: 매뉴얼HBM검사및테스트공정가이드라인20260509001.pdf].</w:t>
      </w:r>
    </w:p>
    <w:p>
      <w:r>
        <w:rPr>
          <w:rFonts w:ascii="Calibri" w:hAnsi="Calibri" w:eastAsia="맑은 고딕"/>
          <w:b w:val="0"/>
          <w:color w:val="333333"/>
          <w:sz w:val="21"/>
        </w:rPr>
        <w:t>다가오는 HBM4(6세대) 시대로의 전환(HBM4 Transition)에 대비하여, 다음과 같은 핵심 대응 방향을 제언합니다.</w:t>
      </w:r>
    </w:p>
    <w:tbl>
      <w:tblPr>
        <w:tblW w:type="auto" w:w="0"/>
        <w:jc w:val="center"/>
        <w:tblLayout w:type="fixed"/>
        <w:tblLook w:firstColumn="1" w:firstRow="1" w:lastColumn="0" w:lastRow="0" w:noHBand="0" w:noVBand="1" w:val="04A0"/>
      </w:tblPr>
      <w:tblGrid>
        <w:gridCol w:w="3326"/>
        <w:gridCol w:w="3326"/>
        <w:gridCol w:w="3326"/>
      </w:tblGrid>
      <w:tr>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구분</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HBM3E 대응 핵심 역량</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HBM4 대응 기술 로드맵</w:t>
            </w:r>
          </w:p>
        </w:tc>
      </w:tr>
      <w:t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**접합 기술**</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TC-NCF / MR-MUF 기반 범프 검사</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**Hybrid Bonding (Cu-to-Cu)** 기반 미세 정렬 및 Void 검사</w:t>
            </w:r>
          </w:p>
        </w:tc>
      </w:tr>
      <w:t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**검사 해상도**</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고정밀 광학 및 3D SPI</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**Sub-micron 급** 초고해상도 비전 및 정밀 정렬(Alignment) 제어</w:t>
            </w:r>
          </w:p>
        </w:tc>
      </w:tr>
      <w:t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**데이터 처리**</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Rule-based 및 기초 AI 비전</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**Deep Learning 기반** 실시간 결함 분류 및 Root Cause 분석</w:t>
            </w:r>
          </w:p>
        </w:tc>
      </w:tr>
      <w:t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**검사 범위**</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적층 구조 및 전기적 기능 테스트</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**Customized Logic Die** 인터페이스 및 신호 무결성(SI/PI) 검사</w:t>
            </w:r>
          </w:p>
        </w:tc>
      </w:tr>
    </w:tbl>
    <w:p>
      <w:r>
        <w:rPr>
          <w:rFonts w:ascii="Calibri" w:hAnsi="Calibri" w:eastAsia="맑은 고딕"/>
          <w:b w:val="0"/>
          <w:color w:val="333333"/>
          <w:sz w:val="21"/>
        </w:rPr>
        <w:t>결론적으로, 차세대 HBM 시장에서 경쟁 우위를 점하기 위해서는 하드웨어적인 고정밀 광학 엔진과 소프트웨어적인 AI 비전 알고리즘이 결합된 지능형 검사 시스템의 확보가 필수적입니다. 크레셈(CRESSEM)은 이러한 기술적 변곡점에서 고객사의 수율 향상에 직접적으로 기여할 수 있는 맞춤형(Customized) 검사 솔루션을 통해, 단순한 장비 공급사를 넘어 차세대 패키징 공정의 핵심 파트너로서 역할을 수행해야 할 것입니다 [출처: 분석_크레셈CRESSEM20260509001.pdf].</w:t>
      </w:r>
    </w:p>
    <w:sectPr w:rsidR="00FC693F" w:rsidRPr="0006063C" w:rsidSect="00034616">
      <w:headerReference w:type="default" r:id="rId9"/>
      <w:footerReference w:type="default" r:id="rId10"/>
      <w:pgSz w:w="11906" w:h="16838"/>
      <w:pgMar w:top="1361" w:right="964" w:bottom="1134"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989" w:val="center"/>
        <w:tab w:pos="9978" w:val="right"/>
      </w:tabs>
    </w:pPr>
    <w:r/>
    <w:r>
      <w:rPr>
        <w:rFonts w:ascii="Calibri" w:hAnsi="Calibri" w:eastAsia="맑은 고딕"/>
      </w:rPr>
      <w:fldChar w:fldCharType="begin"/>
      <w:instrText>PAGE</w:instrText>
      <w:fldChar w:fldCharType="end"/>
    </w:r>
    <w:r>
      <w:tab/>
    </w:r>
    <w:r>
      <w:drawing>
        <wp:inline xmlns:a="http://schemas.openxmlformats.org/drawingml/2006/main" xmlns:pic="http://schemas.openxmlformats.org/drawingml/2006/picture">
          <wp:extent cx="936000" cy="229468"/>
          <wp:docPr id="1" name="Picture 1"/>
          <wp:cNvGraphicFramePr>
            <a:graphicFrameLocks noChangeAspect="1"/>
          </wp:cNvGraphicFramePr>
          <a:graphic>
            <a:graphicData uri="http://schemas.openxmlformats.org/drawingml/2006/picture">
              <pic:pic>
                <pic:nvPicPr>
                  <pic:cNvPr id="0" name="cressem_logo.png"/>
                  <pic:cNvPicPr/>
                </pic:nvPicPr>
                <pic:blipFill>
                  <a:blip r:embed="rId1"/>
                  <a:stretch>
                    <a:fillRect/>
                  </a:stretch>
                </pic:blipFill>
                <pic:spPr>
                  <a:xfrm>
                    <a:off x="0" y="0"/>
                    <a:ext cx="936000" cy="229468"/>
                  </a:xfrm>
                  <a:prstGeom prst="rect"/>
                </pic:spPr>
              </pic:pic>
            </a:graphicData>
          </a:graphic>
        </wp:inline>
      </w:drawing>
    </w:r>
    <w:r>
      <w:tab/>
    </w:r>
    <w:r>
      <w:rPr>
        <w:rFonts w:ascii="Calibri" w:hAnsi="Calibri"/>
        <w:b w:val="0"/>
        <w:color w:val="888888"/>
        <w:sz w:val="16"/>
      </w:rPr>
      <w:t>2026.06.13  |  CTO 유상혁</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978" w:val="right"/>
      </w:tabs>
      <w:pBdr>
        <w:bottom w:val="single" w:sz="6" w:space="2" w:color="EA5405"/>
      </w:pBdr>
    </w:pPr>
    <w:r/>
    <w:r>
      <w:rPr>
        <w:rFonts w:ascii="Calibri" w:hAnsi="Calibri" w:eastAsia="맑은 고딕"/>
        <w:b/>
        <w:color w:val="888888"/>
        <w:sz w:val="18"/>
      </w:rPr>
      <w:t>CRESSEM  |  HBM3E 12-Hi 적층 구조 분석 및 단계별 검사 기술 보고서</w:t>
    </w:r>
    <w:r>
      <w:tab/>
    </w:r>
    <w:r>
      <w:rPr>
        <w:rFonts w:ascii="Calibri" w:hAnsi="Calibri"/>
        <w:b/>
        <w:color w:val="EA5405"/>
        <w:sz w:val="18"/>
      </w:rPr>
      <w:t>CONFIDENTIAL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맑은 고딕"/>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