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AOI 검사 시스템의 SNR 기반 검출 성능 분석 및 시장 전망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개요/배경</w:t>
      </w:r>
    </w:p>
    <w:p>
      <w:pPr>
        <w:pStyle w:val="TOC2"/>
        <w:spacing w:after="60"/>
        <w:ind w:left="240"/>
      </w:pPr>
      <w:r>
        <w:rPr>
          <w:rFonts w:ascii="Calibri" w:hAnsi="Calibri" w:eastAsia="맑은 고딕"/>
          <w:color w:val="333333"/>
          <w:sz w:val="20"/>
        </w:rPr>
        <w:t xml:space="preserve">AOI 시스템의 신호 처리 원리: SNR 유도</w:t>
      </w:r>
    </w:p>
    <w:p>
      <w:pPr>
        <w:pStyle w:val="TOC3"/>
        <w:spacing w:after="60"/>
        <w:ind w:left="560"/>
      </w:pPr>
      <w:r>
        <w:rPr>
          <w:rFonts w:ascii="Calibri" w:hAnsi="Calibri" w:eastAsia="맑은 고딕"/>
          <w:color w:val="333333"/>
          <w:sz w:val="18"/>
        </w:rPr>
        <w:t xml:space="preserve">1. SNR(Signal-to-Noise Ratio)의 물리적 정의 및 수학적 모델</w:t>
      </w:r>
    </w:p>
    <w:p>
      <w:pPr>
        <w:pStyle w:val="TOC3"/>
        <w:spacing w:after="60"/>
        <w:ind w:left="560"/>
      </w:pPr>
      <w:r>
        <w:rPr>
          <w:rFonts w:ascii="Calibri" w:hAnsi="Calibri" w:eastAsia="맑은 고딕"/>
          <w:color w:val="333333"/>
          <w:sz w:val="18"/>
        </w:rPr>
        <w:t xml:space="preserve">2. SNR과 결함 검출 확률(PoD)의 수학적 상관관계 유도</w:t>
      </w:r>
    </w:p>
    <w:p>
      <w:pPr>
        <w:pStyle w:val="TOC3"/>
        <w:spacing w:after="60"/>
        <w:ind w:left="560"/>
      </w:pPr>
      <w:r>
        <w:rPr>
          <w:rFonts w:ascii="Calibri" w:hAnsi="Calibri" w:eastAsia="맑은 고딕"/>
          <w:color w:val="333333"/>
          <w:sz w:val="18"/>
        </w:rPr>
        <w:t xml:space="preserve">3. AOI 성능 최적화를 위한 신호 처리 전략</w:t>
      </w:r>
    </w:p>
    <w:p>
      <w:pPr>
        <w:pStyle w:val="TOC2"/>
        <w:spacing w:after="60"/>
        <w:ind w:left="240"/>
      </w:pPr>
      <w:r>
        <w:rPr>
          <w:rFonts w:ascii="Calibri" w:hAnsi="Calibri" w:eastAsia="맑은 고딕"/>
          <w:color w:val="333333"/>
          <w:sz w:val="20"/>
        </w:rPr>
        <w:t xml:space="preserve">SNR과 결함 검출 확률(PoD)의 상관관계 분석</w:t>
      </w:r>
    </w:p>
    <w:p>
      <w:pPr>
        <w:pStyle w:val="TOC3"/>
        <w:spacing w:after="60"/>
        <w:ind w:left="560"/>
      </w:pPr>
      <w:r>
        <w:rPr>
          <w:rFonts w:ascii="Calibri" w:hAnsi="Calibri" w:eastAsia="맑은 고딕"/>
          <w:color w:val="333333"/>
          <w:sz w:val="18"/>
        </w:rPr>
        <w:t xml:space="preserve">1. SNR의 정의 및 통계적 배경</w:t>
      </w:r>
    </w:p>
    <w:p>
      <w:pPr>
        <w:pStyle w:val="TOC3"/>
        <w:spacing w:after="60"/>
        <w:ind w:left="560"/>
      </w:pPr>
      <w:r>
        <w:rPr>
          <w:rFonts w:ascii="Calibri" w:hAnsi="Calibri" w:eastAsia="맑은 고딕"/>
          <w:color w:val="333333"/>
          <w:sz w:val="18"/>
        </w:rPr>
        <w:t xml:space="preserve">2. 결함 검출 확률(PoD)의 수학적 유도</w:t>
      </w:r>
    </w:p>
    <w:p>
      <w:pPr>
        <w:pStyle w:val="TOC3"/>
        <w:spacing w:after="60"/>
        <w:ind w:left="560"/>
      </w:pPr>
      <w:r>
        <w:rPr>
          <w:rFonts w:ascii="Calibri" w:hAnsi="Calibri" w:eastAsia="맑은 고딕"/>
          <w:color w:val="333333"/>
          <w:sz w:val="18"/>
        </w:rPr>
        <w:t xml:space="preserve">(1) 확률 밀도 함수(PDF) 설정</w:t>
      </w:r>
    </w:p>
    <w:p>
      <w:pPr>
        <w:pStyle w:val="TOC3"/>
        <w:spacing w:after="60"/>
        <w:ind w:left="560"/>
      </w:pPr>
      <w:r>
        <w:rPr>
          <w:rFonts w:ascii="Calibri" w:hAnsi="Calibri" w:eastAsia="맑은 고딕"/>
          <w:color w:val="333333"/>
          <w:sz w:val="18"/>
        </w:rPr>
        <w:t xml:space="preserve">(2) SNR과 신호 차이의 관계</w:t>
      </w:r>
    </w:p>
    <w:p>
      <w:pPr>
        <w:pStyle w:val="TOC3"/>
        <w:spacing w:after="60"/>
        <w:ind w:left="560"/>
      </w:pPr>
      <w:r>
        <w:rPr>
          <w:rFonts w:ascii="Calibri" w:hAnsi="Calibri" w:eastAsia="맑은 고딕"/>
          <w:color w:val="333333"/>
          <w:sz w:val="18"/>
        </w:rPr>
        <w:t xml:space="preserve">(3) PoD 유도 과정</w:t>
      </w:r>
    </w:p>
    <w:p>
      <w:pPr>
        <w:pStyle w:val="TOC3"/>
        <w:spacing w:after="60"/>
        <w:ind w:left="560"/>
      </w:pPr>
      <w:r>
        <w:rPr>
          <w:rFonts w:ascii="Calibri" w:hAnsi="Calibri" w:eastAsia="맑은 고딕"/>
          <w:color w:val="333333"/>
          <w:sz w:val="18"/>
        </w:rPr>
        <w:t xml:space="preserve">3. SNR-PoD 상관관계의 공학적 시사점</w:t>
      </w:r>
    </w:p>
    <w:p>
      <w:pPr>
        <w:pStyle w:val="TOC2"/>
        <w:spacing w:after="60"/>
        <w:ind w:left="240"/>
      </w:pPr>
      <w:r>
        <w:rPr>
          <w:rFonts w:ascii="Calibri" w:hAnsi="Calibri" w:eastAsia="맑은 고딕"/>
          <w:color w:val="333333"/>
          <w:sz w:val="20"/>
        </w:rPr>
        <w:t xml:space="preserve">글로벌 AOI 기술 시장 규모 및 성장 추이</w:t>
      </w:r>
    </w:p>
    <w:p>
      <w:pPr>
        <w:pStyle w:val="TOC2"/>
        <w:spacing w:after="60"/>
        <w:ind w:left="240"/>
      </w:pPr>
      <w:r>
        <w:rPr>
          <w:rFonts w:ascii="Calibri" w:hAnsi="Calibri" w:eastAsia="맑은 고딕"/>
          <w:color w:val="333333"/>
          <w:sz w:val="20"/>
        </w:rPr>
        <w:t xml:space="preserve">기술 유형별 시장 점유율 및 세그먼트 분석</w:t>
      </w:r>
    </w:p>
    <w:p>
      <w:pPr>
        <w:pStyle w:val="TOC3"/>
        <w:spacing w:after="60"/>
        <w:ind w:left="560"/>
      </w:pPr>
      <w:r>
        <w:rPr>
          <w:rFonts w:ascii="Calibri" w:hAnsi="Calibri" w:eastAsia="맑은 고딕"/>
          <w:color w:val="333333"/>
          <w:sz w:val="18"/>
        </w:rPr>
        <w:t xml:space="preserve">3D AOI 기술의 부상 및 시장 지배력</w:t>
      </w:r>
    </w:p>
    <w:p>
      <w:pPr>
        <w:pStyle w:val="TOC3"/>
        <w:spacing w:after="60"/>
        <w:ind w:left="560"/>
      </w:pPr>
      <w:r>
        <w:rPr>
          <w:rFonts w:ascii="Calibri" w:hAnsi="Calibri" w:eastAsia="맑은 고딕"/>
          <w:color w:val="333333"/>
          <w:sz w:val="18"/>
        </w:rPr>
        <w:t xml:space="preserve">기술 유형별 시장 세그먼트 비교</w:t>
      </w:r>
    </w:p>
    <w:p>
      <w:pPr>
        <w:pStyle w:val="TOC3"/>
        <w:spacing w:after="60"/>
        <w:ind w:left="560"/>
      </w:pPr>
      <w:r>
        <w:rPr>
          <w:rFonts w:ascii="Calibri" w:hAnsi="Calibri" w:eastAsia="맑은 고딕"/>
          <w:color w:val="333333"/>
          <w:sz w:val="18"/>
        </w:rPr>
        <w:t xml:space="preserve">시장 트렌드 및 시사점</w:t>
      </w:r>
    </w:p>
    <w:p>
      <w:pPr>
        <w:pStyle w:val="TOC2"/>
        <w:spacing w:after="60"/>
        <w:ind w:left="240"/>
      </w:pPr>
      <w:r>
        <w:rPr>
          <w:rFonts w:ascii="Calibri" w:hAnsi="Calibri" w:eastAsia="맑은 고딕"/>
          <w:color w:val="333333"/>
          <w:sz w:val="20"/>
        </w:rPr>
        <w:t xml:space="preserve">차세대 검사 기술의 기술적 과제 및 대응 전략</w:t>
      </w:r>
    </w:p>
    <w:p>
      <w:pPr>
        <w:pStyle w:val="TOC3"/>
        <w:spacing w:after="60"/>
        <w:ind w:left="560"/>
      </w:pPr>
      <w:r>
        <w:rPr>
          <w:rFonts w:ascii="Calibri" w:hAnsi="Calibri" w:eastAsia="맑은 고딕"/>
          <w:color w:val="333333"/>
          <w:sz w:val="18"/>
        </w:rPr>
        <w:t xml:space="preserve">1. Hybrid Bonding 도입에 따른 초정밀 정렬(Alignment) 및 계면 검사 과제</w:t>
      </w:r>
    </w:p>
    <w:p>
      <w:pPr>
        <w:pStyle w:val="TOC3"/>
        <w:spacing w:after="60"/>
        <w:ind w:left="560"/>
      </w:pPr>
      <w:r>
        <w:rPr>
          <w:rFonts w:ascii="Calibri" w:hAnsi="Calibri" w:eastAsia="맑은 고딕"/>
          <w:color w:val="333333"/>
          <w:sz w:val="18"/>
        </w:rPr>
        <w:t xml:space="preserve">2. HBM4 고단 적층에 따른 물리적 변형(Warpage) 및 구조적 결함 관리</w:t>
      </w:r>
    </w:p>
    <w:p>
      <w:pPr>
        <w:pStyle w:val="TOC3"/>
        <w:spacing w:after="60"/>
        <w:ind w:left="560"/>
      </w:pPr>
      <w:r>
        <w:rPr>
          <w:rFonts w:ascii="Calibri" w:hAnsi="Calibri" w:eastAsia="맑은 고딕"/>
          <w:color w:val="333333"/>
          <w:sz w:val="18"/>
        </w:rPr>
        <w:t xml:space="preserve">3. 크레셈(CRESSEM)의 기술적 대응 전략 및 로드맵</w:t>
      </w:r>
    </w:p>
    <w:p>
      <w:pPr>
        <w:pStyle w:val="TOC3"/>
        <w:spacing w:after="60"/>
        <w:ind w:left="560"/>
      </w:pPr>
      <w:r>
        <w:rPr>
          <w:rFonts w:ascii="Calibri" w:hAnsi="Calibri" w:eastAsia="맑은 고딕"/>
          <w:color w:val="333333"/>
          <w:sz w:val="18"/>
        </w:rPr>
        <w:t xml:space="preserve">[전략적 핵심 요약]</w:t>
      </w:r>
    </w:p>
    <w:p>
      <w:pPr>
        <w:pStyle w:val="TOC2"/>
        <w:spacing w:after="60"/>
        <w:ind w:left="240"/>
      </w:pPr>
      <w:r>
        <w:rPr>
          <w:rFonts w:ascii="Calibri" w:hAnsi="Calibri" w:eastAsia="맑은 고딕"/>
          <w:color w:val="333333"/>
          <w:sz w:val="20"/>
        </w:rPr>
        <w:t xml:space="preserve">결론/시사점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AOI 검사 시스템의 SNR 기반 검출 성능 분석 및 시장 전망 보고서</w:t>
      </w:r>
    </w:p>
    <w:p>
      <w:pPr>
        <w:jc w:val="both"/>
      </w:pPr>
      <w:r>
        <w:rPr>
          <w:rFonts w:ascii="Calibri" w:hAnsi="Calibri" w:eastAsia="맑은 고딕"/>
          <w:b w:val="0"/>
          <w:color w:val="333333"/>
          <w:sz w:val="21"/>
        </w:rPr>
        <w:t>본 보고서는 자동 광학 검사(AOI) 시스템의 핵심 성능 지표인 신호 대 잡음비(SNR)와 결함 검출 확률(Probability of Detection) 간의 수학적 상관관계를 LaTeX 수식으로 유도합니다. 또한, 급성장하는 글로벌 AOI 기술 시장의 규모와 성장률을 정량적 지표를 통해 분석하여 기술적/경제적 시사점을 제공합니다.</w:t>
      </w:r>
    </w:p>
    <w:p>
      <w:pPr>
        <w:pStyle w:val="Heading2"/>
      </w:pPr>
      <w:r/>
      <w:r>
        <w:rPr>
          <w:rFonts w:ascii="Calibri" w:hAnsi="Calibri" w:eastAsia="맑은 고딕"/>
          <w:b/>
          <w:color w:val="333333"/>
          <w:sz w:val="24"/>
        </w:rPr>
        <w:t>개요/배경</w:t>
      </w:r>
    </w:p>
    <w:p>
      <w:pPr>
        <w:jc w:val="both"/>
      </w:pPr>
      <w:r>
        <w:rPr>
          <w:rFonts w:ascii="Calibri" w:hAnsi="Calibri" w:eastAsia="맑은 고딕"/>
          <w:b w:val="0"/>
          <w:color w:val="333333"/>
          <w:sz w:val="21"/>
        </w:rPr>
        <w:t xml:space="preserve">반도체 산업의 패러다임이 전공정(Front-end)의 미세화 공정에서 후공정(Back-end)의 고도화, 즉 </w:t>
      </w:r>
      <w:r>
        <w:rPr>
          <w:rFonts w:ascii="Calibri" w:hAnsi="Calibri" w:eastAsia="맑은 고딕"/>
          <w:b/>
          <w:color w:val="333333"/>
          <w:sz w:val="21"/>
        </w:rPr>
        <w:t>어드밴스드 패키징(Advanced Packaging)</w:t>
      </w:r>
      <w:r>
        <w:rPr>
          <w:rFonts w:ascii="Calibri" w:hAnsi="Calibri" w:eastAsia="맑은 고딕"/>
          <w:b w:val="0"/>
          <w:color w:val="333333"/>
          <w:sz w:val="21"/>
        </w:rPr>
        <w:t xml:space="preserve"> 기술로 급격히 이동함에 따라, 제조 공정의 최종 품질을 결정짓는 </w:t>
      </w:r>
      <w:r>
        <w:rPr>
          <w:rFonts w:ascii="Calibri" w:hAnsi="Calibri" w:eastAsia="맑은 고딕"/>
          <w:b/>
          <w:color w:val="333333"/>
          <w:sz w:val="21"/>
        </w:rPr>
        <w:t>자동 광학 검사(Automated Optical Inspection, AOI)</w:t>
      </w:r>
      <w:r>
        <w:rPr>
          <w:rFonts w:ascii="Calibri" w:hAnsi="Calibri" w:eastAsia="맑은 고딕"/>
          <w:b w:val="0"/>
          <w:color w:val="333333"/>
          <w:sz w:val="21"/>
        </w:rPr>
        <w:t xml:space="preserve"> 시스템의 중요성이 그 어느 때보다 강조되고 있습니다. 과거의 패키징이 단순히 칩을 보호하고 외부 단자와 연결하는 수준에 머물렀다면, 최근의 기술 트렌드는 여러 개의 칩을 수직 또는 수평으로 정밀하게 적층하여 데이터 전송 속도를 극대화하고 전력 효율을 높이는 </w:t>
      </w:r>
      <w:r>
        <w:rPr>
          <w:rFonts w:ascii="Calibri" w:hAnsi="Calibri" w:eastAsia="맑은 고딕"/>
          <w:b/>
          <w:color w:val="333333"/>
          <w:sz w:val="21"/>
        </w:rPr>
        <w:t>이종 집적(Heterogeneous Integration)</w:t>
      </w:r>
      <w:r>
        <w:rPr>
          <w:rFonts w:ascii="Calibri" w:hAnsi="Calibri" w:eastAsia="맑은 고딕"/>
          <w:b w:val="0"/>
          <w:color w:val="333333"/>
          <w:sz w:val="21"/>
        </w:rPr>
        <w:t xml:space="preserve"> 기술로 진화하였습니다.</w:t>
      </w:r>
    </w:p>
    <w:p>
      <w:pPr>
        <w:jc w:val="both"/>
      </w:pPr>
      <w:r>
        <w:rPr>
          <w:rFonts w:ascii="Calibri" w:hAnsi="Calibri" w:eastAsia="맑은 고딕"/>
          <w:b w:val="0"/>
          <w:color w:val="333333"/>
          <w:sz w:val="21"/>
        </w:rPr>
        <w:t xml:space="preserve">특히 AI 가속기 시장의 폭발적인 성장과 함께 수요가 급증하고 있는 </w:t>
      </w:r>
      <w:r>
        <w:rPr>
          <w:rFonts w:ascii="Calibri" w:hAnsi="Calibri" w:eastAsia="맑은 고딕"/>
          <w:b/>
          <w:color w:val="333333"/>
          <w:sz w:val="21"/>
        </w:rPr>
        <w:t>고대역폭 메모리(High Bandwidth Memory, HBM)</w:t>
      </w:r>
      <w:r>
        <w:rPr>
          <w:rFonts w:ascii="Calibri" w:hAnsi="Calibri" w:eastAsia="맑은 고딕"/>
          <w:b w:val="0"/>
          <w:color w:val="333333"/>
          <w:sz w:val="21"/>
        </w:rPr>
        <w:t xml:space="preserve">는 수천 개의 </w:t>
      </w:r>
      <w:r>
        <w:rPr>
          <w:rFonts w:ascii="Calibri" w:hAnsi="Calibri" w:eastAsia="맑은 고딕"/>
          <w:b/>
          <w:color w:val="333333"/>
          <w:sz w:val="21"/>
        </w:rPr>
        <w:t>TSV(Through Silicon Via, 실리콘 관통 전극)</w:t>
      </w:r>
      <w:r>
        <w:rPr>
          <w:rFonts w:ascii="Calibri" w:hAnsi="Calibri" w:eastAsia="맑은 고딕"/>
          <w:b w:val="0"/>
          <w:color w:val="333333"/>
          <w:sz w:val="21"/>
        </w:rPr>
        <w:t xml:space="preserve">와 미세한 </w:t>
      </w:r>
      <w:r>
        <w:rPr>
          <w:rFonts w:ascii="Calibri" w:hAnsi="Calibri" w:eastAsia="맑은 고딕"/>
          <w:b/>
          <w:color w:val="333333"/>
          <w:sz w:val="21"/>
        </w:rPr>
        <w:t>마이크로 범프(Micro Bump)</w:t>
      </w:r>
      <w:r>
        <w:rPr>
          <w:rFonts w:ascii="Calibri" w:hAnsi="Calibri" w:eastAsia="맑은 고딕"/>
          <w:b w:val="0"/>
          <w:color w:val="333333"/>
          <w:sz w:val="21"/>
        </w:rPr>
        <w:t>를 통해 칩 간의 연결을 수행합니다. 이러한 구조에서는 단 한 개의 미세한 결함(Defect)만으로도 전체 패키지의 기능 상실 및 수율(Yield) 저하를 초래할 수 있습니다. 따라서 기존의 단순한 Rule-based 검사 방식을 넘어, 신호 대 잡음비(Signal-to-Noise Ratio, SNR)를 극대화하고 결함의 특징을 정확히 식별할 수 있는 고정밀 AOI 솔루션의 확보가 반도체 제조사의 핵심 경쟁력으로 부상하였습니다.</w:t>
      </w:r>
    </w:p>
    <w:p>
      <w:pPr>
        <w:jc w:val="both"/>
      </w:pPr>
      <w:r>
        <w:rPr>
          <w:rFonts w:ascii="Calibri" w:hAnsi="Calibri" w:eastAsia="맑은 고딕"/>
          <w:b w:val="0"/>
          <w:color w:val="333333"/>
          <w:sz w:val="21"/>
        </w:rPr>
        <w:t xml:space="preserve">본 보고서는 AOI 검사 시스템의 핵심 성능 지표인 </w:t>
      </w:r>
      <w:r>
        <w:rPr>
          <w:rFonts w:ascii="Calibri" w:hAnsi="Calibri" w:eastAsia="맑은 고딕"/>
          <w:b/>
          <w:color w:val="333333"/>
          <w:sz w:val="21"/>
        </w:rPr>
        <w:t>SNR(Signal-to-Noise Ratio)</w:t>
      </w:r>
      <w:r>
        <w:rPr>
          <w:rFonts w:ascii="Calibri" w:hAnsi="Calibri" w:eastAsia="맑은 고딕"/>
          <w:b w:val="0"/>
          <w:color w:val="333333"/>
          <w:sz w:val="21"/>
        </w:rPr>
        <w:t xml:space="preserve">이 실제 결함 검출 확률(Probability of Detection, PoD)에 미치는 수학적 상관관계를 분석하고, 이를 바탕으로 차세대 공정에서 요구되는 검사 정밀도의 기준을 제시하고자 합니다. 또한, 급변하는 글로벌 AOI 시장의 규모와 성장 추이를 데이터 기반으로 분석하여, 향후 </w:t>
      </w:r>
      <w:r>
        <w:rPr>
          <w:rFonts w:ascii="Calibri" w:hAnsi="Calibri" w:eastAsia="맑은 고딕"/>
          <w:b/>
          <w:color w:val="333333"/>
          <w:sz w:val="21"/>
        </w:rPr>
        <w:t>HBM4</w:t>
      </w:r>
      <w:r>
        <w:rPr>
          <w:rFonts w:ascii="Calibri" w:hAnsi="Calibri" w:eastAsia="맑은 고딕"/>
          <w:b w:val="0"/>
          <w:color w:val="333333"/>
          <w:sz w:val="21"/>
        </w:rPr>
        <w:t xml:space="preserve"> 및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기술 도입에 따른 기술적 난제와 이에 대응하기 위한 전략적 방향성을 제언하는 것을 목적으로 합니다.</w:t>
      </w:r>
    </w:p>
    <w:p>
      <w:pPr>
        <w:jc w:val="both"/>
      </w:pPr>
      <w:r>
        <w:rPr>
          <w:rFonts w:ascii="Calibri" w:hAnsi="Calibri" w:eastAsia="맑은 고딕"/>
          <w:b w:val="0"/>
          <w:color w:val="333333"/>
          <w:sz w:val="21"/>
        </w:rPr>
        <w:t xml:space="preserve">현재 반도체 패키징 공정은 적층 단수가 높아짐에 따라 </w:t>
      </w:r>
      <w:r>
        <w:rPr>
          <w:rFonts w:ascii="Calibri" w:hAnsi="Calibri" w:eastAsia="맑은 고딕"/>
          <w:b/>
          <w:color w:val="333333"/>
          <w:sz w:val="21"/>
        </w:rPr>
        <w:t>워피지(Warpage, 휨 현상)</w:t>
      </w:r>
      <w:r>
        <w:rPr>
          <w:rFonts w:ascii="Calibri" w:hAnsi="Calibri" w:eastAsia="맑은 고딕"/>
          <w:b w:val="0"/>
          <w:color w:val="333333"/>
          <w:sz w:val="21"/>
        </w:rPr>
        <w:t xml:space="preserve"> 및 </w:t>
      </w:r>
      <w:r>
        <w:rPr>
          <w:rFonts w:ascii="Calibri" w:hAnsi="Calibri" w:eastAsia="맑은 고딕"/>
          <w:b/>
          <w:color w:val="333333"/>
          <w:sz w:val="21"/>
        </w:rPr>
        <w:t>틸트(Tilt)</w:t>
      </w:r>
      <w:r>
        <w:rPr>
          <w:rFonts w:ascii="Calibri" w:hAnsi="Calibri" w:eastAsia="맑은 고딕"/>
          <w:b w:val="0"/>
          <w:color w:val="333333"/>
          <w:sz w:val="21"/>
        </w:rPr>
        <w:t xml:space="preserve"> 제어와 같은 물리적 변형 문제와, 초미세 간극에서의 </w:t>
      </w:r>
      <w:r>
        <w:rPr>
          <w:rFonts w:ascii="Calibri" w:hAnsi="Calibri" w:eastAsia="맑은 고딕"/>
          <w:b/>
          <w:color w:val="333333"/>
          <w:sz w:val="21"/>
        </w:rPr>
        <w:t>미스얼라이먼트(Misalignment)</w:t>
      </w:r>
      <w:r>
        <w:rPr>
          <w:rFonts w:ascii="Calibri" w:hAnsi="Calibri" w:eastAsia="맑은 고딕"/>
          <w:b w:val="0"/>
          <w:color w:val="333333"/>
          <w:sz w:val="21"/>
        </w:rPr>
        <w:t xml:space="preserve"> 검출이라는 기술적 한계에 직면해 있습니다. 이러한 환경에서 고해상도 광학 엔진과 </w:t>
      </w:r>
      <w:r>
        <w:rPr>
          <w:rFonts w:ascii="Calibri" w:hAnsi="Calibri" w:eastAsia="맑은 고딕"/>
          <w:b/>
          <w:color w:val="333333"/>
          <w:sz w:val="21"/>
        </w:rPr>
        <w:t>AI 기반 머신 비전(AI-Driven Machine Vision)</w:t>
      </w:r>
      <w:r>
        <w:rPr>
          <w:rFonts w:ascii="Calibri" w:hAnsi="Calibri" w:eastAsia="맑은 고딕"/>
          <w:b w:val="0"/>
          <w:color w:val="333333"/>
          <w:sz w:val="21"/>
        </w:rPr>
        <w:t xml:space="preserve"> 기술의 결합은 단순한 불량 판별을 넘어, 공정상의 결함 원인을 역추적(Root Cause Analysis)할 수 있는 스마트 팩토리 구현의 초석이 될 것입니다.</w:t>
      </w:r>
    </w:p>
    <w:p>
      <w:pPr>
        <w:jc w:val="center"/>
      </w:pPr>
      <w:r>
        <w:drawing>
          <wp:inline xmlns:a="http://schemas.openxmlformats.org/drawingml/2006/main" xmlns:pic="http://schemas.openxmlformats.org/drawingml/2006/picture">
            <wp:extent cx="6048000" cy="2695230"/>
            <wp:docPr id="2" name="Picture 2"/>
            <wp:cNvGraphicFramePr>
              <a:graphicFrameLocks noChangeAspect="1"/>
            </wp:cNvGraphicFramePr>
            <a:graphic>
              <a:graphicData uri="http://schemas.openxmlformats.org/drawingml/2006/picture">
                <pic:pic>
                  <pic:nvPicPr>
                    <pic:cNvPr id="0" name="_dx_37951.png"/>
                    <pic:cNvPicPr/>
                  </pic:nvPicPr>
                  <pic:blipFill>
                    <a:blip r:embed="rId12"/>
                    <a:stretch>
                      <a:fillRect/>
                    </a:stretch>
                  </pic:blipFill>
                  <pic:spPr>
                    <a:xfrm>
                      <a:off x="0" y="0"/>
                      <a:ext cx="6048000" cy="2695230"/>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AOI 시스템의 신호 처리 원리: SNR 유도</w:t>
      </w:r>
    </w:p>
    <w:p>
      <w:pPr>
        <w:jc w:val="both"/>
      </w:pPr>
      <w:r>
        <w:rPr>
          <w:rFonts w:ascii="Calibri" w:hAnsi="Calibri" w:eastAsia="맑은 고딕"/>
          <w:b w:val="0"/>
          <w:color w:val="333333"/>
          <w:sz w:val="21"/>
        </w:rPr>
        <w:t>자동 광학 검사(Automated Optical Inspection, AOI) 시스템의 핵심은 이미지 센서를 통해 포착된 데이터로부터 실제 결함(Defect) 신호를 노이즈(Noise)로부터 얼마나 명확하게 분리해낼 수 있느냐에 달려 있습니다. 반도체 패키징이 HBM4, Hybrid Bonding 등 초미세 공정으로 진화함에 따라, 검사 대상인 미세 패턴의 크기는 감소하는 반면 공정 중 발생하는 산란광, 조명 불균일, 센서 자체의 열 잡음 등은 검출 성능을 저해하는 주요 요인으로 작용합니다. 따라서 AOI 시스템의 성능을 정량적으로 평가하고 최적화하기 위해서는 신호 대 잡음비(Signal-to-Noise Ratio, SNR)에 대한 수학적 정의와 이를 기반으로 한 신호 처리 메커니즘을 이해하는 것이 필수적입니다.</w:t>
      </w:r>
    </w:p>
    <w:p>
      <w:pPr>
        <w:pStyle w:val="Heading3"/>
      </w:pPr>
      <w:r/>
      <w:r>
        <w:rPr>
          <w:rFonts w:ascii="Calibri" w:hAnsi="Calibri" w:eastAsia="맑은 고딕"/>
          <w:b/>
          <w:color w:val="888888"/>
          <w:sz w:val="21"/>
        </w:rPr>
        <w:t>1. SNR(Signal-to-Noise Ratio)의 물리적 정의 및 수학적 모델</w:t>
      </w:r>
    </w:p>
    <w:p>
      <w:pPr>
        <w:jc w:val="both"/>
      </w:pPr>
      <w:r>
        <w:rPr>
          <w:rFonts w:ascii="Calibri" w:hAnsi="Calibri" w:eastAsia="맑은 고딕"/>
          <w:b w:val="0"/>
          <w:color w:val="333333"/>
          <w:sz w:val="21"/>
        </w:rPr>
        <w:t>AOI 시스템에서 신호(Signal)는 검사하고자 하는 대상물(예: Micro Bump, Die-to-Die 정렬 오차, Void 등)에 의해 발생하는 광학적 변화를 의미하며, 잡음(Noise)은 이 신호에 혼입되어 데이터의 변별력을 떨어뜨리는 모든 불필요한 성분을 의미합니다 [출처: elc-coco.tistory.com].</w:t>
      </w:r>
    </w:p>
    <w:p>
      <w:pPr>
        <w:jc w:val="both"/>
      </w:pPr>
      <w:r>
        <w:rPr>
          <w:rFonts w:ascii="Calibri" w:hAnsi="Calibri" w:eastAsia="맑은 고딕"/>
          <w:b w:val="0"/>
          <w:color w:val="333333"/>
          <w:sz w:val="21"/>
        </w:rPr>
        <w:t>일반적으로 신호 처리 분야에서 SNR은 신호의 전력(Power)과 잡음의 전력 간의 비율로 정의됩니다. 검사 장비의 이미지 센서(CCD/CMOS)를 통해 획득되는 디지털 데이터 S를 기준으로 할 때, 신호 전력 Psignal과 잡음 전력 Pnoise의 관계는 다음과 같이 표현할 수 있습니다.</w:t>
      </w:r>
    </w:p>
    <w:p>
      <w:pPr>
        <w:spacing w:before="120" w:after="120"/>
        <w:jc w:val="center"/>
      </w:pPr>
      <w:r>
        <w:drawing>
          <wp:inline xmlns:a="http://schemas.openxmlformats.org/drawingml/2006/main" xmlns:pic="http://schemas.openxmlformats.org/drawingml/2006/picture">
            <wp:extent cx="946403" cy="374904"/>
            <wp:docPr id="3" name="Picture 3"/>
            <wp:cNvGraphicFramePr>
              <a:graphicFrameLocks noChangeAspect="1"/>
            </wp:cNvGraphicFramePr>
            <a:graphic>
              <a:graphicData uri="http://schemas.openxmlformats.org/drawingml/2006/picture">
                <pic:pic>
                  <pic:nvPicPr>
                    <pic:cNvPr id="0" name="tmp9e6yy6al.png"/>
                    <pic:cNvPicPr/>
                  </pic:nvPicPr>
                  <pic:blipFill>
                    <a:blip r:embed="rId13"/>
                    <a:stretch>
                      <a:fillRect/>
                    </a:stretch>
                  </pic:blipFill>
                  <pic:spPr>
                    <a:xfrm>
                      <a:off x="0" y="0"/>
                      <a:ext cx="946403" cy="374904"/>
                    </a:xfrm>
                    <a:prstGeom prst="rect"/>
                  </pic:spPr>
                </pic:pic>
              </a:graphicData>
            </a:graphic>
          </wp:inline>
        </w:drawing>
      </w:r>
    </w:p>
    <w:p>
      <w:pPr>
        <w:jc w:val="both"/>
      </w:pPr>
      <w:r>
        <w:rPr>
          <w:rFonts w:ascii="Calibri" w:hAnsi="Calibri" w:eastAsia="맑은 고딕"/>
          <w:b w:val="0"/>
          <w:color w:val="333333"/>
          <w:sz w:val="21"/>
        </w:rPr>
        <w:t>이를 전압(Voltage) 또는 진폭(Amplitude)의 관점에서 다루는 이미지 프로세싱 환경에서는 신호의 평균 진폭 Asignal과 잡음의 표준편차 σnoise를 사용하여 다음과 같이 유도할 수 있습니다.</w:t>
      </w:r>
    </w:p>
    <w:p>
      <w:pPr>
        <w:spacing w:before="120" w:after="120"/>
        <w:jc w:val="center"/>
      </w:pPr>
      <w:r>
        <w:drawing>
          <wp:inline xmlns:a="http://schemas.openxmlformats.org/drawingml/2006/main" xmlns:pic="http://schemas.openxmlformats.org/drawingml/2006/picture">
            <wp:extent cx="955547" cy="347472"/>
            <wp:docPr id="4" name="Picture 4"/>
            <wp:cNvGraphicFramePr>
              <a:graphicFrameLocks noChangeAspect="1"/>
            </wp:cNvGraphicFramePr>
            <a:graphic>
              <a:graphicData uri="http://schemas.openxmlformats.org/drawingml/2006/picture">
                <pic:pic>
                  <pic:nvPicPr>
                    <pic:cNvPr id="0" name="tmp7fhk5r0o.png"/>
                    <pic:cNvPicPr/>
                  </pic:nvPicPr>
                  <pic:blipFill>
                    <a:blip r:embed="rId14"/>
                    <a:stretch>
                      <a:fillRect/>
                    </a:stretch>
                  </pic:blipFill>
                  <pic:spPr>
                    <a:xfrm>
                      <a:off x="0" y="0"/>
                      <a:ext cx="955547" cy="347472"/>
                    </a:xfrm>
                    <a:prstGeom prst="rect"/>
                  </pic:spPr>
                </pic:pic>
              </a:graphicData>
            </a:graphic>
          </wp:inline>
        </w:drawing>
      </w:r>
    </w:p>
    <w:p>
      <w:pPr>
        <w:jc w:val="both"/>
      </w:pPr>
      <w:r>
        <w:rPr>
          <w:rFonts w:ascii="Calibri" w:hAnsi="Calibri" w:eastAsia="맑은 고딕"/>
          <w:b w:val="0"/>
          <w:color w:val="333333"/>
          <w:sz w:val="21"/>
        </w:rPr>
        <w:t>반도체 검사 장비의 고해상도 광학 엔진에서는 조명 제어(Lighting Control)를 통해 Asignal을 극대화하고, 고성능 센서와 필터링 알고리즘을 통해 σnoise를 최소화하는 것이 설계의 핵심입니다. 특히 HBM4와 같은 고단 적층 구조를 검사할 때는 매우 낮은 대비(Contrast)를 가진 결함을 찾아내야 하므로, 높은 SNR 확보가 곧 검사 신뢰도와 직결됩니다.</w:t>
      </w:r>
    </w:p>
    <w:p>
      <w:pPr>
        <w:pStyle w:val="Heading3"/>
      </w:pPr>
      <w:r/>
      <w:r>
        <w:rPr>
          <w:rFonts w:ascii="Calibri" w:hAnsi="Calibri" w:eastAsia="맑은 고딕"/>
          <w:b/>
          <w:color w:val="888888"/>
          <w:sz w:val="21"/>
        </w:rPr>
        <w:t>2. SNR과 결함 검출 확률(PoD)의 수학적 상관관계 유도</w:t>
      </w:r>
    </w:p>
    <w:p>
      <w:pPr>
        <w:jc w:val="both"/>
      </w:pPr>
      <w:r>
        <w:rPr>
          <w:rFonts w:ascii="Calibri" w:hAnsi="Calibri" w:eastAsia="맑은 고딕"/>
          <w:b w:val="0"/>
          <w:color w:val="333333"/>
          <w:sz w:val="21"/>
        </w:rPr>
        <w:t>AOI 시스템의 최종 목표는 결함의 존재 여부를 통계적으로 확신하는 것입니다. 이를 위해 검출 확률(Probability of Detection, PoD) 개념이 도입됩니다. 결함이 존재할 때 검출되는 확률을 PD, 결함이 없음에도 결함으로 오판하는 과검(Over-kill) 확률을 PFA(False Alarm)라고 할 때, 이들은 신호와 잡음의 확률 밀도 함수(Probability Density Function, PDF)를 통해 결정됩니다.</w:t>
      </w:r>
    </w:p>
    <w:p>
      <w:pPr>
        <w:jc w:val="both"/>
      </w:pPr>
      <w:r>
        <w:rPr>
          <w:rFonts w:ascii="Calibri" w:hAnsi="Calibri" w:eastAsia="맑은 고딕"/>
          <w:b w:val="0"/>
          <w:color w:val="333333"/>
          <w:sz w:val="21"/>
        </w:rPr>
        <w:t>잡음이 가우시안 분포(Gaussian Distribution)를 따른다고 가정하면, 잡음의 확률 밀도 함수 fnoise(x)는 다음과 같습니다.</w:t>
      </w:r>
    </w:p>
    <w:p>
      <w:pPr>
        <w:spacing w:before="120" w:after="120"/>
        <w:jc w:val="center"/>
      </w:pPr>
      <w:r>
        <w:drawing>
          <wp:inline xmlns:a="http://schemas.openxmlformats.org/drawingml/2006/main" xmlns:pic="http://schemas.openxmlformats.org/drawingml/2006/picture">
            <wp:extent cx="2304288" cy="397764"/>
            <wp:docPr id="5" name="Picture 5"/>
            <wp:cNvGraphicFramePr>
              <a:graphicFrameLocks noChangeAspect="1"/>
            </wp:cNvGraphicFramePr>
            <a:graphic>
              <a:graphicData uri="http://schemas.openxmlformats.org/drawingml/2006/picture">
                <pic:pic>
                  <pic:nvPicPr>
                    <pic:cNvPr id="0" name="tmpz0mis3_q.png"/>
                    <pic:cNvPicPr/>
                  </pic:nvPicPr>
                  <pic:blipFill>
                    <a:blip r:embed="rId15"/>
                    <a:stretch>
                      <a:fillRect/>
                    </a:stretch>
                  </pic:blipFill>
                  <pic:spPr>
                    <a:xfrm>
                      <a:off x="0" y="0"/>
                      <a:ext cx="2304288" cy="397764"/>
                    </a:xfrm>
                    <a:prstGeom prst="rect"/>
                  </pic:spPr>
                </pic:pic>
              </a:graphicData>
            </a:graphic>
          </wp:inline>
        </w:drawing>
      </w:r>
    </w:p>
    <w:p>
      <w:pPr>
        <w:jc w:val="both"/>
      </w:pPr>
      <w:r>
        <w:rPr>
          <w:rFonts w:ascii="Calibri" w:hAnsi="Calibri" w:eastAsia="맑은 고딕"/>
          <w:b w:val="0"/>
          <w:color w:val="333333"/>
          <w:sz w:val="21"/>
        </w:rPr>
        <w:t>결함이 존재할 경우, 신호가 더해진 전체 신호의 분포 fsignal+noise(x)는 평균이 Asignal인 분포를 갖게 됩니다.</w:t>
      </w:r>
    </w:p>
    <w:p>
      <w:pPr>
        <w:spacing w:before="120" w:after="120"/>
        <w:jc w:val="center"/>
      </w:pPr>
      <w:r>
        <w:drawing>
          <wp:inline xmlns:a="http://schemas.openxmlformats.org/drawingml/2006/main" xmlns:pic="http://schemas.openxmlformats.org/drawingml/2006/picture">
            <wp:extent cx="3095244" cy="434340"/>
            <wp:docPr id="6" name="Picture 6"/>
            <wp:cNvGraphicFramePr>
              <a:graphicFrameLocks noChangeAspect="1"/>
            </wp:cNvGraphicFramePr>
            <a:graphic>
              <a:graphicData uri="http://schemas.openxmlformats.org/drawingml/2006/picture">
                <pic:pic>
                  <pic:nvPicPr>
                    <pic:cNvPr id="0" name="tmp73d47utd.png"/>
                    <pic:cNvPicPr/>
                  </pic:nvPicPr>
                  <pic:blipFill>
                    <a:blip r:embed="rId16"/>
                    <a:stretch>
                      <a:fillRect/>
                    </a:stretch>
                  </pic:blipFill>
                  <pic:spPr>
                    <a:xfrm>
                      <a:off x="0" y="0"/>
                      <a:ext cx="3095244" cy="434340"/>
                    </a:xfrm>
                    <a:prstGeom prst="rect"/>
                  </pic:spPr>
                </pic:pic>
              </a:graphicData>
            </a:graphic>
          </wp:inline>
        </w:drawing>
      </w:r>
    </w:p>
    <w:p>
      <w:pPr>
        <w:jc w:val="both"/>
      </w:pPr>
      <w:r>
        <w:rPr>
          <w:rFonts w:ascii="Calibri" w:hAnsi="Calibri" w:eastAsia="맑은 고딕"/>
          <w:b w:val="0"/>
          <w:color w:val="333333"/>
          <w:sz w:val="21"/>
        </w:rPr>
        <w:t>이때, 시스템이 설정한 검출 임계값(Threshold, τ)을 기준으로 결함 검출 확률 PD를 유도하면 다음과 같은 분수 형태의 적분식으로 표현됩니다.</w:t>
      </w:r>
    </w:p>
    <w:p>
      <w:pPr>
        <w:spacing w:before="120" w:after="120"/>
        <w:jc w:val="center"/>
      </w:pPr>
      <w:r>
        <w:drawing>
          <wp:inline xmlns:a="http://schemas.openxmlformats.org/drawingml/2006/main" xmlns:pic="http://schemas.openxmlformats.org/drawingml/2006/picture">
            <wp:extent cx="2779776" cy="534924"/>
            <wp:docPr id="7" name="Picture 7"/>
            <wp:cNvGraphicFramePr>
              <a:graphicFrameLocks noChangeAspect="1"/>
            </wp:cNvGraphicFramePr>
            <a:graphic>
              <a:graphicData uri="http://schemas.openxmlformats.org/drawingml/2006/picture">
                <pic:pic>
                  <pic:nvPicPr>
                    <pic:cNvPr id="0" name="tmp7h53oi9d.png"/>
                    <pic:cNvPicPr/>
                  </pic:nvPicPr>
                  <pic:blipFill>
                    <a:blip r:embed="rId17"/>
                    <a:stretch>
                      <a:fillRect/>
                    </a:stretch>
                  </pic:blipFill>
                  <pic:spPr>
                    <a:xfrm>
                      <a:off x="0" y="0"/>
                      <a:ext cx="2779776" cy="534924"/>
                    </a:xfrm>
                    <a:prstGeom prst="rect"/>
                  </pic:spPr>
                </pic:pic>
              </a:graphicData>
            </a:graphic>
          </wp:inline>
        </w:drawing>
      </w:r>
    </w:p>
    <w:p>
      <w:pPr>
        <w:jc w:val="both"/>
      </w:pPr>
      <w:r>
        <w:rPr>
          <w:rFonts w:ascii="Calibri" w:hAnsi="Calibri" w:eastAsia="맑은 고딕"/>
          <w:b w:val="0"/>
          <w:color w:val="333333"/>
          <w:sz w:val="21"/>
        </w:rPr>
        <w:t>동시에, 결함이 없는 상태에서 잡음이 임계값을 넘을 확률인 과검률 PFA는 다음과 같습니다.</w:t>
      </w:r>
    </w:p>
    <w:p>
      <w:pPr>
        <w:spacing w:before="120" w:after="120"/>
        <w:jc w:val="center"/>
      </w:pPr>
      <w:r>
        <w:drawing>
          <wp:inline xmlns:a="http://schemas.openxmlformats.org/drawingml/2006/main" xmlns:pic="http://schemas.openxmlformats.org/drawingml/2006/picture">
            <wp:extent cx="2491740" cy="534924"/>
            <wp:docPr id="8" name="Picture 8"/>
            <wp:cNvGraphicFramePr>
              <a:graphicFrameLocks noChangeAspect="1"/>
            </wp:cNvGraphicFramePr>
            <a:graphic>
              <a:graphicData uri="http://schemas.openxmlformats.org/drawingml/2006/picture">
                <pic:pic>
                  <pic:nvPicPr>
                    <pic:cNvPr id="0" name="tmpwj101ca0.png"/>
                    <pic:cNvPicPr/>
                  </pic:nvPicPr>
                  <pic:blipFill>
                    <a:blip r:embed="rId18"/>
                    <a:stretch>
                      <a:fillRect/>
                    </a:stretch>
                  </pic:blipFill>
                  <pic:spPr>
                    <a:xfrm>
                      <a:off x="0" y="0"/>
                      <a:ext cx="2491740" cy="534924"/>
                    </a:xfrm>
                    <a:prstGeom prst="rect"/>
                  </pic:spPr>
                </pic:pic>
              </a:graphicData>
            </a:graphic>
          </wp:inline>
        </w:drawing>
      </w:r>
    </w:p>
    <w:p>
      <w:pPr>
        <w:jc w:val="both"/>
      </w:pPr>
      <w:r>
        <w:rPr>
          <w:rFonts w:ascii="Calibri" w:hAnsi="Calibri" w:eastAsia="맑은 고딕"/>
          <w:b w:val="0"/>
          <w:color w:val="333333"/>
          <w:sz w:val="21"/>
        </w:rPr>
        <w:t xml:space="preserve">위 식에서 알 수 있듯이, Asignal이 커지거나(신호 강화), σnoise가 작아질수록(잡음 억제) PD는 증가하고 PFA는 감소합니다. 즉, </w:t>
      </w:r>
      <w:r>
        <w:rPr>
          <w:rFonts w:ascii="Calibri" w:hAnsi="Calibri" w:eastAsia="맑은 고딕"/>
          <w:b/>
          <w:color w:val="333333"/>
          <w:sz w:val="21"/>
        </w:rPr>
        <w:t>SNR이 높을수록 검사 시스템은 과검 없이 미세 결함을 정확하게 잡아낼 수 있는 통계적 신뢰도를 확보하게 됩니다.</w:t>
      </w:r>
    </w:p>
    <w:p>
      <w:pPr>
        <w:pStyle w:val="Heading3"/>
      </w:pPr>
      <w:r/>
      <w:r>
        <w:rPr>
          <w:rFonts w:ascii="Calibri" w:hAnsi="Calibri" w:eastAsia="맑은 고딕"/>
          <w:b/>
          <w:color w:val="888888"/>
          <w:sz w:val="21"/>
        </w:rPr>
        <w:t>3. AOI 성능 최적화를 위한 신호 처리 전략</w:t>
      </w:r>
    </w:p>
    <w:p>
      <w:pPr>
        <w:jc w:val="both"/>
      </w:pPr>
      <w:r>
        <w:rPr>
          <w:rFonts w:ascii="Calibri" w:hAnsi="Calibri" w:eastAsia="맑은 고딕"/>
          <w:b w:val="0"/>
          <w:color w:val="333333"/>
          <w:sz w:val="21"/>
        </w:rPr>
        <w:t>크레셈(CRESSEM)의 차세대 검사 솔루션은 이러한 수학적 모델을 기반으로 두 가지 핵심 전략을 수행합니다.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Deep Learning 기반의 잡음 분리(Noise Separation)</w:t>
      </w:r>
      <w:r>
        <w:rPr>
          <w:rFonts w:ascii="Calibri" w:hAnsi="Calibri" w:eastAsia="맑은 고딕"/>
          <w:b w:val="0"/>
          <w:color w:val="333333"/>
          <w:sz w:val="21"/>
        </w:rPr>
        <w:t>입니다. 기존의 Rule-based 방식은 고정된 임계값 τ를 사용하여 SNR이 낮은 환경에서 과검이 빈번하게 발생했습니다. 그러나 크레셈의 AI 비전 알고리즘은 정상적인 노이즈 패턴을 학습하여, 미세 결함(Defect)과 정상적인 노이즈를 통계적으로 구분함으로써 과검률(Over-kill rate)을 획기적으로 낮춥니다 [출처: 기업 분석 보고서 (주)크레셈].</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고속 광학 엔진을 통한 신호 극대화</w:t>
      </w:r>
      <w:r>
        <w:rPr>
          <w:rFonts w:ascii="Calibri" w:hAnsi="Calibri" w:eastAsia="맑은 고딕"/>
          <w:b w:val="0"/>
          <w:color w:val="333333"/>
          <w:sz w:val="21"/>
        </w:rPr>
        <w:t>입니다. 고해상도 카메라와 정밀 조명 제어 기술을 결합하여 Asignal을 높임으로써, 물리적인 SNR 자체를 개선합니다. 이는 생산 라인의 Tact Time(생산 주기)을 유지하면서도 고단 적층 HBM의 미세 간극 및 언더필(Underfill) 상태를 정밀하게 스캔할 수 있는 기반이 됩니다 [출처: SK​하이닉스 HBM3E 양산동향 및 기술경쟁력 분석].</w:t>
      </w:r>
    </w:p>
    <w:p>
      <w:pPr>
        <w:jc w:val="center"/>
      </w:pPr>
      <w:r>
        <w:drawing>
          <wp:inline xmlns:a="http://schemas.openxmlformats.org/drawingml/2006/main" xmlns:pic="http://schemas.openxmlformats.org/drawingml/2006/picture">
            <wp:extent cx="6048000" cy="1910849"/>
            <wp:docPr id="9" name="Picture 9"/>
            <wp:cNvGraphicFramePr>
              <a:graphicFrameLocks noChangeAspect="1"/>
            </wp:cNvGraphicFramePr>
            <a:graphic>
              <a:graphicData uri="http://schemas.openxmlformats.org/drawingml/2006/picture">
                <pic:pic>
                  <pic:nvPicPr>
                    <pic:cNvPr id="0" name="_dx_91275.png"/>
                    <pic:cNvPicPr/>
                  </pic:nvPicPr>
                  <pic:blipFill>
                    <a:blip r:embed="rId19"/>
                    <a:stretch>
                      <a:fillRect/>
                    </a:stretch>
                  </pic:blipFill>
                  <pic:spPr>
                    <a:xfrm>
                      <a:off x="0" y="0"/>
                      <a:ext cx="6048000" cy="1910849"/>
                    </a:xfrm>
                    <a:prstGeom prst="rect"/>
                  </pic:spPr>
                </pic:pic>
              </a:graphicData>
            </a:graphic>
          </wp:inline>
        </w:drawing>
      </w:r>
    </w:p>
    <w:p>
      <w:pPr>
        <w:jc w:val="center"/>
      </w:pPr>
      <w:r>
        <w:rPr>
          <w:rFonts w:ascii="Calibri" w:hAnsi="Calibri" w:eastAsia="맑은 고딕"/>
          <w:b w:val="0"/>
          <w:color w:val="888888"/>
          <w:sz w:val="17"/>
        </w:rPr>
        <w:t>그림 2</w:t>
      </w:r>
    </w:p>
    <w:p>
      <w:pPr>
        <w:pStyle w:val="Heading2"/>
      </w:pPr>
      <w:r/>
      <w:r>
        <w:rPr>
          <w:rFonts w:ascii="Calibri" w:hAnsi="Calibri" w:eastAsia="맑은 고딕"/>
          <w:b/>
          <w:color w:val="333333"/>
          <w:sz w:val="24"/>
        </w:rPr>
        <w:t>SNR과 결함 검출 확률(PoD)의 상관관계 분석</w:t>
      </w:r>
    </w:p>
    <w:p>
      <w:pPr>
        <w:jc w:val="both"/>
      </w:pPr>
      <w:r>
        <w:rPr>
          <w:rFonts w:ascii="Calibri" w:hAnsi="Calibri" w:eastAsia="맑은 고딕"/>
          <w:b w:val="0"/>
          <w:color w:val="333333"/>
          <w:sz w:val="21"/>
        </w:rPr>
        <w:t>반도체 패키징 공정이 HBM4와 같은 고단 적층 구조로 진화함에 따라, 검사 시스템이 미세 결함을 얼마나 정확하게 식별하느냐는 수율(Yield) 관리의 핵심 지표가 되었습니다. AOI(Automated Optical Inspection) 시스템의 성능을 결정짓는 가장 근본적인 물리량은 신호 대 잡음비(Signal-to-Noise Ratio, SNR)이며, 이는 통계적으로 결함 검출 확률(Probability of Detection, PoD)과 직결됩니다. 본 섹션에서는 SNR의 수학적 정의를 바탕으로 결함 신호가 노이즈 분포 내에서 어떻게 검출 확률로 변환되는지를 유도하고, 그 상관관계를 분석합니다.</w:t>
      </w:r>
    </w:p>
    <w:p>
      <w:pPr>
        <w:pStyle w:val="Heading3"/>
      </w:pPr>
      <w:r/>
      <w:r>
        <w:rPr>
          <w:rFonts w:ascii="Calibri" w:hAnsi="Calibri" w:eastAsia="맑은 고딕"/>
          <w:b/>
          <w:color w:val="888888"/>
          <w:sz w:val="21"/>
        </w:rPr>
        <w:t>1. SNR의 정의 및 통계적 배경</w:t>
      </w:r>
    </w:p>
    <w:p>
      <w:pPr>
        <w:jc w:val="both"/>
      </w:pPr>
      <w:r>
        <w:rPr>
          <w:rFonts w:ascii="Calibri" w:hAnsi="Calibri" w:eastAsia="맑은 고딕"/>
          <w:b w:val="0"/>
          <w:color w:val="333333"/>
          <w:sz w:val="21"/>
        </w:rPr>
        <w:t>AOI 시스템에서 검출하고자 하는 '신호(Signal)'는 결함(Defect)에 의해 발생하는 광학적 변화(예: 반사율 차이, 산란광의 변화)를 의미하며, '잡음(Noise)'은 센서 자체의 열 잡음(Thermal Noise), 조명 불균일성, 광학계의 회절 등으로 인해 발생하는 무작위 변동을 의미합니다.</w:t>
      </w:r>
    </w:p>
    <w:p>
      <w:pPr>
        <w:jc w:val="both"/>
      </w:pPr>
      <w:r>
        <w:rPr>
          <w:rFonts w:ascii="Calibri" w:hAnsi="Calibri" w:eastAsia="맑은 고딕"/>
          <w:b w:val="0"/>
          <w:color w:val="333333"/>
          <w:sz w:val="21"/>
        </w:rPr>
        <w:t>일반적으로 신호 전력(Psignal)과 노이즈 전력(Pnoise)의 비로 정의되는 SNR은 다음과 같이 표현됩니다.</w:t>
      </w:r>
    </w:p>
    <w:p>
      <w:pPr>
        <w:spacing w:before="120" w:after="120"/>
        <w:jc w:val="center"/>
      </w:pPr>
      <w:r>
        <w:drawing>
          <wp:inline xmlns:a="http://schemas.openxmlformats.org/drawingml/2006/main" xmlns:pic="http://schemas.openxmlformats.org/drawingml/2006/picture">
            <wp:extent cx="946403" cy="374904"/>
            <wp:docPr id="10" name="Picture 10"/>
            <wp:cNvGraphicFramePr>
              <a:graphicFrameLocks noChangeAspect="1"/>
            </wp:cNvGraphicFramePr>
            <a:graphic>
              <a:graphicData uri="http://schemas.openxmlformats.org/drawingml/2006/picture">
                <pic:pic>
                  <pic:nvPicPr>
                    <pic:cNvPr id="0" name="tmp9e6yy6al.png"/>
                    <pic:cNvPicPr/>
                  </pic:nvPicPr>
                  <pic:blipFill>
                    <a:blip r:embed="rId13"/>
                    <a:stretch>
                      <a:fillRect/>
                    </a:stretch>
                  </pic:blipFill>
                  <pic:spPr>
                    <a:xfrm>
                      <a:off x="0" y="0"/>
                      <a:ext cx="946403" cy="374904"/>
                    </a:xfrm>
                    <a:prstGeom prst="rect"/>
                  </pic:spPr>
                </pic:pic>
              </a:graphicData>
            </a:graphic>
          </wp:inline>
        </w:drawing>
      </w:r>
    </w:p>
    <w:p>
      <w:pPr>
        <w:jc w:val="both"/>
      </w:pPr>
      <w:r>
        <w:rPr>
          <w:rFonts w:ascii="Calibri" w:hAnsi="Calibri" w:eastAsia="맑은 고딕"/>
          <w:b w:val="0"/>
          <w:color w:val="333333"/>
          <w:sz w:val="21"/>
        </w:rPr>
        <w:t>검사 시스템의 이미지 센서(CCD/CMOS)에서 획득되는 픽셀 값은 결함이 없는 정상 상태의 평균 신호 레벨(μbackground)과 결함이 존재하는 상태의 평균 신호 레벨(μdefect)로 구분할 수 있습니다. 이때 노이즈는 통계적으로 가우시안 분포(Gaussian Distribution)를 따른다고 가정합니다.</w:t>
      </w:r>
    </w:p>
    <w:p>
      <w:pPr>
        <w:pStyle w:val="Heading3"/>
      </w:pPr>
      <w:r/>
      <w:r>
        <w:rPr>
          <w:rFonts w:ascii="Calibri" w:hAnsi="Calibri" w:eastAsia="맑은 고딕"/>
          <w:b/>
          <w:color w:val="888888"/>
          <w:sz w:val="21"/>
        </w:rPr>
        <w:t>2. 결함 검출 확률(PoD)의 수학적 유도</w:t>
      </w:r>
    </w:p>
    <w:p>
      <w:pPr>
        <w:jc w:val="both"/>
      </w:pPr>
      <w:r>
        <w:rPr>
          <w:rFonts w:ascii="Calibri" w:hAnsi="Calibri" w:eastAsia="맑은 고딕"/>
          <w:b w:val="0"/>
          <w:color w:val="333333"/>
          <w:sz w:val="21"/>
        </w:rPr>
        <w:t>결함 검출은 특정 임계값(Threshold, τ)을 설정하고, 측정된 신호 값이 이 임계값을 초과할 때 결함으로 판정하는 과정입니다. 검출 확률(PoD)은 결함 신호 분포에서 측정값이 τ보다 클 확률을 의미하며, 과검(Over-kill)을 방지하기 위한 오검출률(False Alarm Rate, FAR)과 트레이드오프(Trade-off) 관계에 있습니다.</w:t>
      </w:r>
    </w:p>
    <w:p>
      <w:pPr>
        <w:pStyle w:val="Heading4"/>
        <w:ind w:left="227"/>
      </w:pPr>
      <w:r/>
      <w:r>
        <w:rPr>
          <w:rFonts w:ascii="Calibri" w:hAnsi="Calibri" w:eastAsia="맑은 고딕"/>
          <w:b/>
          <w:color w:val="888888"/>
          <w:sz w:val="20"/>
        </w:rPr>
        <w:t>(1) 확률 밀도 함수(PDF) 설정</w:t>
      </w:r>
    </w:p>
    <w:p>
      <w:pPr>
        <w:jc w:val="both"/>
      </w:pPr>
      <w:r>
        <w:rPr>
          <w:rFonts w:ascii="Calibri" w:hAnsi="Calibri" w:eastAsia="맑은 고딕"/>
          <w:b w:val="0"/>
          <w:color w:val="333333"/>
          <w:sz w:val="21"/>
        </w:rPr>
        <w:t>정상 배경(Background)의 신호 분포를 fB(x), 결함(Defect)의 신호 분포를 fD(x)라고 할 때, 각각 다음과 같은 정규 분포를 따릅니다.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정상 분포:</w:t>
      </w:r>
      <w:r>
        <w:rPr>
          <w:rFonts w:ascii="Calibri" w:hAnsi="Calibri" w:eastAsia="맑은 고딕"/>
          <w:b w:val="0"/>
          <w:color w:val="333333"/>
          <w:sz w:val="21"/>
        </w:rPr>
        <w:t xml:space="preserve"> fB(x) ∼ N(μB, σ²)</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분포:</w:t>
      </w:r>
      <w:r>
        <w:rPr>
          <w:rFonts w:ascii="Calibri" w:hAnsi="Calibri" w:eastAsia="맑은 고딕"/>
          <w:b w:val="0"/>
          <w:color w:val="333333"/>
          <w:sz w:val="21"/>
        </w:rPr>
        <w:t xml:space="preserve"> fD(x) ∼ N(μD, σ²)</w:t>
      </w:r>
    </w:p>
    <w:p>
      <w:pPr>
        <w:jc w:val="both"/>
      </w:pPr>
      <w:r>
        <w:rPr>
          <w:rFonts w:ascii="Calibri" w:hAnsi="Calibri" w:eastAsia="맑은 고딕"/>
          <w:b w:val="0"/>
          <w:color w:val="333333"/>
          <w:sz w:val="21"/>
        </w:rPr>
        <w:t>여기서 σ는 노이즈의 표준편차를 나타냅니다.</w:t>
      </w:r>
    </w:p>
    <w:p>
      <w:pPr>
        <w:pStyle w:val="Heading4"/>
        <w:ind w:left="227"/>
      </w:pPr>
      <w:r/>
      <w:r>
        <w:rPr>
          <w:rFonts w:ascii="Calibri" w:hAnsi="Calibri" w:eastAsia="맑은 고딕"/>
          <w:b/>
          <w:color w:val="888888"/>
          <w:sz w:val="20"/>
        </w:rPr>
        <w:t>(2) SNR과 신호 차이의 관계</w:t>
      </w:r>
    </w:p>
    <w:p>
      <w:pPr>
        <w:jc w:val="both"/>
      </w:pPr>
      <w:r>
        <w:rPr>
          <w:rFonts w:ascii="Calibri" w:hAnsi="Calibri" w:eastAsia="맑은 고딕"/>
          <w:b w:val="0"/>
          <w:color w:val="333333"/>
          <w:sz w:val="21"/>
        </w:rPr>
        <w:t>SNR은 신호의 강도와 노이즈의 변동성 사이의 관계를 나타내므로, 두 분포의 평균 차이(Δμ = μD - μB)와 노이즈 표준편차(σ)의 비율로 재정의할 수 있습니다.</w:t>
      </w:r>
    </w:p>
    <w:p>
      <w:pPr>
        <w:spacing w:before="120" w:after="120"/>
        <w:jc w:val="center"/>
      </w:pPr>
      <w:r>
        <w:drawing>
          <wp:inline xmlns:a="http://schemas.openxmlformats.org/drawingml/2006/main" xmlns:pic="http://schemas.openxmlformats.org/drawingml/2006/picture">
            <wp:extent cx="1527048" cy="297180"/>
            <wp:docPr id="11" name="Picture 11"/>
            <wp:cNvGraphicFramePr>
              <a:graphicFrameLocks noChangeAspect="1"/>
            </wp:cNvGraphicFramePr>
            <a:graphic>
              <a:graphicData uri="http://schemas.openxmlformats.org/drawingml/2006/picture">
                <pic:pic>
                  <pic:nvPicPr>
                    <pic:cNvPr id="0" name="tmpl6208yo4.png"/>
                    <pic:cNvPicPr/>
                  </pic:nvPicPr>
                  <pic:blipFill>
                    <a:blip r:embed="rId20"/>
                    <a:stretch>
                      <a:fillRect/>
                    </a:stretch>
                  </pic:blipFill>
                  <pic:spPr>
                    <a:xfrm>
                      <a:off x="0" y="0"/>
                      <a:ext cx="1527048" cy="297180"/>
                    </a:xfrm>
                    <a:prstGeom prst="rect"/>
                  </pic:spPr>
                </pic:pic>
              </a:graphicData>
            </a:graphic>
          </wp:inline>
        </w:drawing>
      </w:r>
    </w:p>
    <w:p>
      <w:pPr>
        <w:pStyle w:val="Heading4"/>
        <w:ind w:left="227"/>
      </w:pPr>
      <w:r/>
      <w:r>
        <w:rPr>
          <w:rFonts w:ascii="Calibri" w:hAnsi="Calibri" w:eastAsia="맑은 고딕"/>
          <w:b/>
          <w:color w:val="888888"/>
          <w:sz w:val="20"/>
        </w:rPr>
        <w:t>(3) PoD 유도 과정</w:t>
      </w:r>
    </w:p>
    <w:p>
      <w:pPr>
        <w:jc w:val="both"/>
      </w:pPr>
      <w:r>
        <w:rPr>
          <w:rFonts w:ascii="Calibri" w:hAnsi="Calibri" w:eastAsia="맑은 고딕"/>
          <w:b w:val="0"/>
          <w:color w:val="333333"/>
          <w:sz w:val="21"/>
        </w:rPr>
        <w:t>검출 확률 PoD는 결함 분포의 하부 면적 중 임계값 τ 이상의 영역에 해당합니다.</w:t>
      </w:r>
    </w:p>
    <w:p>
      <w:pPr>
        <w:spacing w:before="120" w:after="120"/>
        <w:jc w:val="center"/>
      </w:pPr>
      <w:r>
        <w:drawing>
          <wp:inline xmlns:a="http://schemas.openxmlformats.org/drawingml/2006/main" xmlns:pic="http://schemas.openxmlformats.org/drawingml/2006/picture">
            <wp:extent cx="3817620" cy="534924"/>
            <wp:docPr id="12" name="Picture 12"/>
            <wp:cNvGraphicFramePr>
              <a:graphicFrameLocks noChangeAspect="1"/>
            </wp:cNvGraphicFramePr>
            <a:graphic>
              <a:graphicData uri="http://schemas.openxmlformats.org/drawingml/2006/picture">
                <pic:pic>
                  <pic:nvPicPr>
                    <pic:cNvPr id="0" name="tmpz6pxx0s3.png"/>
                    <pic:cNvPicPr/>
                  </pic:nvPicPr>
                  <pic:blipFill>
                    <a:blip r:embed="rId21"/>
                    <a:stretch>
                      <a:fillRect/>
                    </a:stretch>
                  </pic:blipFill>
                  <pic:spPr>
                    <a:xfrm>
                      <a:off x="0" y="0"/>
                      <a:ext cx="3817620" cy="534924"/>
                    </a:xfrm>
                    <a:prstGeom prst="rect"/>
                  </pic:spPr>
                </pic:pic>
              </a:graphicData>
            </a:graphic>
          </wp:inline>
        </w:drawing>
      </w:r>
    </w:p>
    <w:p>
      <w:pPr>
        <w:jc w:val="both"/>
      </w:pPr>
      <w:r>
        <w:rPr>
          <w:rFonts w:ascii="Calibri" w:hAnsi="Calibri" w:eastAsia="맑은 고딕"/>
          <w:b w:val="0"/>
          <w:color w:val="333333"/>
          <w:sz w:val="21"/>
        </w:rPr>
        <w:t>이를 표준 정규 분포 함수(Standard Normal Cumulative Distribution Function, Φ)를 사용하여 나타내면 다음과 같습니다.</w:t>
      </w:r>
    </w:p>
    <w:p>
      <w:pPr>
        <w:spacing w:before="120" w:after="120"/>
        <w:jc w:val="center"/>
      </w:pPr>
      <w:r>
        <w:drawing>
          <wp:inline xmlns:a="http://schemas.openxmlformats.org/drawingml/2006/main" xmlns:pic="http://schemas.openxmlformats.org/drawingml/2006/picture">
            <wp:extent cx="2253996" cy="297180"/>
            <wp:docPr id="13" name="Picture 13"/>
            <wp:cNvGraphicFramePr>
              <a:graphicFrameLocks noChangeAspect="1"/>
            </wp:cNvGraphicFramePr>
            <a:graphic>
              <a:graphicData uri="http://schemas.openxmlformats.org/drawingml/2006/picture">
                <pic:pic>
                  <pic:nvPicPr>
                    <pic:cNvPr id="0" name="tmpngpyafm6.png"/>
                    <pic:cNvPicPr/>
                  </pic:nvPicPr>
                  <pic:blipFill>
                    <a:blip r:embed="rId22"/>
                    <a:stretch>
                      <a:fillRect/>
                    </a:stretch>
                  </pic:blipFill>
                  <pic:spPr>
                    <a:xfrm>
                      <a:off x="0" y="0"/>
                      <a:ext cx="2253996" cy="297180"/>
                    </a:xfrm>
                    <a:prstGeom prst="rect"/>
                  </pic:spPr>
                </pic:pic>
              </a:graphicData>
            </a:graphic>
          </wp:inline>
        </w:drawing>
      </w:r>
    </w:p>
    <w:p>
      <w:pPr>
        <w:jc w:val="both"/>
      </w:pPr>
      <w:r>
        <w:rPr>
          <w:rFonts w:ascii="Calibri" w:hAnsi="Calibri" w:eastAsia="맑은 고딕"/>
          <w:b w:val="0"/>
          <w:color w:val="333333"/>
          <w:sz w:val="21"/>
        </w:rPr>
        <w:t>동시에, 오검출률(FAR)은 정상 분포에서 임계값을 넘는 확률입니다.</w:t>
      </w:r>
    </w:p>
    <w:p>
      <w:pPr>
        <w:spacing w:before="120" w:after="120"/>
        <w:jc w:val="center"/>
      </w:pPr>
      <w:r>
        <w:drawing>
          <wp:inline xmlns:a="http://schemas.openxmlformats.org/drawingml/2006/main" xmlns:pic="http://schemas.openxmlformats.org/drawingml/2006/picture">
            <wp:extent cx="2276856" cy="297180"/>
            <wp:docPr id="14" name="Picture 14"/>
            <wp:cNvGraphicFramePr>
              <a:graphicFrameLocks noChangeAspect="1"/>
            </wp:cNvGraphicFramePr>
            <a:graphic>
              <a:graphicData uri="http://schemas.openxmlformats.org/drawingml/2006/picture">
                <pic:pic>
                  <pic:nvPicPr>
                    <pic:cNvPr id="0" name="tmpjg0aexde.png"/>
                    <pic:cNvPicPr/>
                  </pic:nvPicPr>
                  <pic:blipFill>
                    <a:blip r:embed="rId23"/>
                    <a:stretch>
                      <a:fillRect/>
                    </a:stretch>
                  </pic:blipFill>
                  <pic:spPr>
                    <a:xfrm>
                      <a:off x="0" y="0"/>
                      <a:ext cx="2276856" cy="297180"/>
                    </a:xfrm>
                    <a:prstGeom prst="rect"/>
                  </pic:spPr>
                </pic:pic>
              </a:graphicData>
            </a:graphic>
          </wp:inline>
        </w:drawing>
      </w:r>
    </w:p>
    <w:p>
      <w:pPr>
        <w:jc w:val="both"/>
      </w:pPr>
      <w:r>
        <w:rPr>
          <w:rFonts w:ascii="Calibri" w:hAnsi="Calibri" w:eastAsia="맑은 고딕"/>
          <w:b w:val="0"/>
          <w:color w:val="333333"/>
          <w:sz w:val="21"/>
        </w:rPr>
        <w:t>결과적으로 PoD는 SNR이 증가할수록(즉, μD - μB가 커지거나 σ가 작아질수록) 임계값 τ를 설정하기 용이해지며, 동일한 FAR 조건 하에서 기하급수적으로 상승하게 됩니다.</w:t>
      </w:r>
    </w:p>
    <w:p>
      <w:pPr>
        <w:pStyle w:val="Heading3"/>
      </w:pPr>
      <w:r/>
      <w:r>
        <w:rPr>
          <w:rFonts w:ascii="Calibri" w:hAnsi="Calibri" w:eastAsia="맑은 고딕"/>
          <w:b/>
          <w:color w:val="888888"/>
          <w:sz w:val="21"/>
        </w:rPr>
        <w:t>3. SNR-PoD 상관관계의 공학적 시사점</w:t>
      </w:r>
    </w:p>
    <w:p>
      <w:pPr>
        <w:jc w:val="both"/>
      </w:pPr>
      <w:r>
        <w:rPr>
          <w:rFonts w:ascii="Calibri" w:hAnsi="Calibri" w:eastAsia="맑은 고딕"/>
          <w:b w:val="0"/>
          <w:color w:val="333333"/>
          <w:sz w:val="21"/>
        </w:rPr>
        <w:t>수학적 유도 결과에 따르면, AOI 시스템의 검출 성능을 극대화하기 위한 전략은 크게 두 가지 방향으로 요약됩니다.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신호 강도(Δμ)의 극대화</w:t>
      </w:r>
      <w:r>
        <w:rPr>
          <w:rFonts w:ascii="Calibri" w:hAnsi="Calibri" w:eastAsia="맑은 고딕"/>
          <w:b w:val="0"/>
          <w:color w:val="333333"/>
          <w:sz w:val="21"/>
        </w:rPr>
        <w:t>입니다. 이는 고성능 조명 시스템(Lighting System)을 통해 결함과 배경 간의 광학적 대비(Contrast)를 높이는 것을 의미합니다. 특히 HBM4의 Hybrid Bonding 공정처럼 접합부의 미세 간극(Gap)을 검사해야 하는 경우, 미세한 높이 차이를 유도할 수 있는 특수 광학계 설계가 필수적입니다.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노이즈(σ)의 최소화</w:t>
      </w:r>
      <w:r>
        <w:rPr>
          <w:rFonts w:ascii="Calibri" w:hAnsi="Calibri" w:eastAsia="맑은 고딕"/>
          <w:b w:val="0"/>
          <w:color w:val="333333"/>
          <w:sz w:val="21"/>
        </w:rPr>
        <w:t>입니다. 이는 센서의 양자 효율(Quantum Efficiency)을 높이고, 이미지 프로세싱 단계에서 AI 알고리즘(Deep Learning 기반 결함 분류)을 적용하여 정상적인 노이즈를 효과적으로 억제하는 것을 의미합니다. [출처: 기업 분석 보고서 (주)크레셈 (CRESSEM): 차세대 반도체 패키징 검사 솔루션의 선두주자]</w:t>
      </w:r>
    </w:p>
    <w:p>
      <w:pPr>
        <w:jc w:val="both"/>
      </w:pPr>
      <w:r>
        <w:rPr>
          <w:rFonts w:ascii="Calibri" w:hAnsi="Calibri" w:eastAsia="맑은 고딕"/>
          <w:b w:val="0"/>
          <w:color w:val="333333"/>
          <w:sz w:val="21"/>
        </w:rPr>
        <w:t xml:space="preserve">결론적으로, SNR이 높아질수록 PoD 곡선은 가파른 S-자(Sigmoid) 형태를 띠게 되며, 이는 검사 시스템이 '결함'과 '노이즈'를 명확히 구분할 수 있는 </w:t>
      </w:r>
      <w:r>
        <w:rPr>
          <w:rFonts w:ascii="Calibri" w:hAnsi="Calibri" w:eastAsia="맑은 고딕"/>
          <w:b/>
          <w:color w:val="333333"/>
          <w:sz w:val="21"/>
        </w:rPr>
        <w:t>검출 한계(Detection Limit)</w:t>
      </w:r>
      <w:r>
        <w:rPr>
          <w:rFonts w:ascii="Calibri" w:hAnsi="Calibri" w:eastAsia="맑은 고딕"/>
          <w:b w:val="0"/>
          <w:color w:val="333333"/>
          <w:sz w:val="21"/>
        </w:rPr>
        <w:t>가 낮아짐을 의미합니다. 크레셈은 이러한 SNR 최적화를 위해 AI 기반의 실시간 결함 검출(Real-time Defect Detection) 시스템을 구축하여, 과검(Over-kill)을 방지하면서도 미세 결함의 검출력을 유지하는 기술적 차별화를 도모하고 있습니다. [출처: 분석_​크레셈​CRESSEM_​20260509_​001.pdf]</w:t>
      </w:r>
    </w:p>
    <w:p>
      <w:pPr>
        <w:pStyle w:val="Heading2"/>
      </w:pPr>
      <w:r/>
      <w:r>
        <w:rPr>
          <w:rFonts w:ascii="Calibri" w:hAnsi="Calibri" w:eastAsia="맑은 고딕"/>
          <w:b/>
          <w:color w:val="333333"/>
          <w:sz w:val="24"/>
        </w:rPr>
        <w:t>글로벌 AOI 기술 시장 규모 및 성장 추이</w:t>
      </w:r>
    </w:p>
    <w:p>
      <w:pPr>
        <w:jc w:val="both"/>
      </w:pPr>
      <w:r>
        <w:rPr>
          <w:rFonts w:ascii="Calibri" w:hAnsi="Calibri" w:eastAsia="맑은 고딕"/>
          <w:b w:val="0"/>
          <w:color w:val="333333"/>
          <w:sz w:val="21"/>
        </w:rPr>
        <w:t>반도체 패키징 공정의 미세화와 HBM(High Bandwidth Memory) 등 고부가가치 제품의 수요 폭증에 따라, 자동 광학 검사(Automated Optical Inspection, AOI) 기술 시장은 유례없는 성장 국면에 진입해 있습니다. 최근 반도체 산업의 패러다임이 전공정 미세화에서 후공정(Advanced Packaging) 고도화로 이동함에 따라, 미세 결함을 실시간으로 검출하고 수율(Yield)을 관리할 수 있는 고성능 AOI 시스템에 대한 투자 규모가 기하급수적으로 확대되는 추세입니다.</w:t>
      </w:r>
    </w:p>
    <w:p>
      <w:pPr>
        <w:jc w:val="both"/>
      </w:pPr>
      <w:r>
        <w:rPr>
          <w:rFonts w:ascii="Calibri" w:hAnsi="Calibri" w:eastAsia="맑은 고딕"/>
          <w:b w:val="0"/>
          <w:color w:val="333333"/>
          <w:sz w:val="21"/>
        </w:rPr>
        <w:t>현재 글로벌 AOI 기술 시장은 다양한 조사 기관의 분석에 따라 예측치에 다소 차이가 있으나, 전반적으로 강력한 성장 모멘텀을 공유하고 있습니다. 2025년을 기점으로 시장은 본격적인 확장기에 접어들었으며, 특히 AI 기반 비전 알고리즘과 3D 측정 기술이 결합된 고차원 검사 솔루션을 중심으로 시장의 질적·양적 성장이 동시에 이루어지고 있습니다.</w:t>
      </w:r>
    </w:p>
    <w:p>
      <w:pPr>
        <w:jc w:val="both"/>
      </w:pPr>
      <w:r>
        <w:rPr>
          <w:rFonts w:ascii="Calibri" w:hAnsi="Calibri" w:eastAsia="맑은 고딕"/>
          <w:b w:val="0"/>
          <w:color w:val="333333"/>
          <w:sz w:val="21"/>
        </w:rPr>
        <w:t>시장 규모 및 성장률에 대한 주요 분석 기관의 예측 데이터를 종합하면 다음과 같습니다.</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분석 기관</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기준 연도 (Market Size)</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예측 연도 (Market Size)</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연평균 성장률 (CAGR)</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Verified Market Reports</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2025년: 25억 달러</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2034년: 56억 달러</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+9.8%</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AOI 기술 전반</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Straits Research</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2026년: 17.2억 달러</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2034년: 72.5억 달러</w:t>
            </w:r>
          </w:p>
        </w:tc>
        <w:tc>
          <w:tcPr>
            <w:tcW w:type="dxa" w:w="199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+19.7%</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AOI 시장 전체</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Mordor Intelligence</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2025년: 17.1억 달러</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2031년: 49.9억 달러</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+19.57%</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AOI 장비 시장</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Data Horizont Research</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2025년: 약 48억 달러</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2033년: 82억 달러</w:t>
            </w:r>
          </w:p>
        </w:tc>
        <w:tc>
          <w:tcPr>
            <w:tcW w:type="dxa" w:w="199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+7.2%</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AOI 시장 규모</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Business Research Insights</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2026년: 32억 달러</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2035년: 860.3억 달러</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+45.7%</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3D AOI 특화</w:t>
            </w:r>
          </w:p>
        </w:tc>
      </w:tr>
    </w:tbl>
    <w:p>
      <w:pPr>
        <w:jc w:val="both"/>
      </w:pPr>
      <w:r>
        <w:rPr>
          <w:rFonts w:ascii="Calibri" w:hAnsi="Calibri" w:eastAsia="맑은 고딕"/>
          <w:b w:val="0"/>
          <w:color w:val="333333"/>
          <w:sz w:val="21"/>
        </w:rPr>
        <w:t>위 지표를 통해 확인할 수 있듯이, 일반적인 AOI 기술 시장은 약 7%~20% 사이의 안정적인 성장을 기록할 것으로 보이나, 3D AOI(3D Automated Optical Inspection)와 같은 특정 고성능 세그먼트는 연평균 성장률(CAGR)이 45.7%에 달하는 폭발적인 성장세를 보일 것으로 전망됩니다 (업계 공개자료 기반). 이는 기존의 2D 평면 검사만으로는 해결할 수 없는 HBM의 적층 구조, TSV(Through Silicon Via) 결함, 그리고 Hybrid Bonding 공정의 미세 정렬(Alignment) 이슈를 해결하기 위해 산업계가 3D 측정 기술로 급격히 전환하고 있음을 시사합니다.</w:t>
      </w:r>
    </w:p>
    <w:p>
      <w:pPr>
        <w:jc w:val="both"/>
      </w:pPr>
      <w:r>
        <w:rPr>
          <w:rFonts w:ascii="Calibri" w:hAnsi="Calibri" w:eastAsia="맑은 고딕"/>
          <w:b w:val="0"/>
          <w:color w:val="333333"/>
          <w:sz w:val="21"/>
        </w:rPr>
        <w:t>특히 시장의 성장을 견인하는 핵심 동력은 '인라인(In-line) 3D AOI' 시스템의 채택 급증입니다. 현재 인라인 시스템은 전체 유형별 시장 점유율의 약 60%를 차지하고 있으며, 생산 라인 내에서 실시간으로 결함을 검출하여 공정 피드백을 제공하는 능력이 수율 확보의 핵심 경쟁력으로 부상했기 때문입니다 (업계 공개자료 기반). 반면, 높은 초기 투자 비용(CAPEX)과 복잡한 시스템 통합 문제로 인해 일부 잠재적 생산 라인에서는 배포가 지연되는 양상을 보이기도 하나, AI 기반의 지능형 검사 솔루션이 표준 AOI 시스템 대비 약 33% 더 높은 채택률을 보이며 이러한 진입 장벽을 낮추고 있습니다 (업계 공개자료 기반).</w:t>
      </w:r>
    </w:p>
    <w:p>
      <w:pPr>
        <w:jc w:val="both"/>
      </w:pPr>
      <w:r>
        <w:rPr>
          <w:rFonts w:ascii="Calibri" w:hAnsi="Calibri" w:eastAsia="맑은 고딕"/>
          <w:b w:val="0"/>
          <w:color w:val="333333"/>
          <w:sz w:val="21"/>
        </w:rPr>
        <w:t>결과적으로 글로벌 AOI 시장은 단순한 검사 장비 공급을 넘어, AI와 3D 광학 기술이 결합된 '지능형 수율 관리 솔루션' 시장으로 재편되고 있습니다. 2030년대 초반에 이르면 시장 규모는 수십억 달러에서 수백억 달러 규모(3D AOI 기준)로 확대될 것으로 예상되며, 이는 반도체 제조사들이 초미세 공정에서 수율을 확보하기 위해 AOI 기술에 지속적인 대규모 투자를 단행할 것임을 뒷받침하는 강력한 근거입니다.</w:t>
      </w:r>
    </w:p>
    <w:p>
      <w:pPr>
        <w:jc w:val="center"/>
      </w:pPr>
      <w:r>
        <w:drawing>
          <wp:inline xmlns:a="http://schemas.openxmlformats.org/drawingml/2006/main" xmlns:pic="http://schemas.openxmlformats.org/drawingml/2006/picture">
            <wp:extent cx="6048000" cy="3841564"/>
            <wp:docPr id="15" name="Picture 15"/>
            <wp:cNvGraphicFramePr>
              <a:graphicFrameLocks noChangeAspect="1"/>
            </wp:cNvGraphicFramePr>
            <a:graphic>
              <a:graphicData uri="http://schemas.openxmlformats.org/drawingml/2006/picture">
                <pic:pic>
                  <pic:nvPicPr>
                    <pic:cNvPr id="0" name="_dx_5997.png"/>
                    <pic:cNvPicPr/>
                  </pic:nvPicPr>
                  <pic:blipFill>
                    <a:blip r:embed="rId24"/>
                    <a:stretch>
                      <a:fillRect/>
                    </a:stretch>
                  </pic:blipFill>
                  <pic:spPr>
                    <a:xfrm>
                      <a:off x="0" y="0"/>
                      <a:ext cx="6048000" cy="3841564"/>
                    </a:xfrm>
                    <a:prstGeom prst="rect"/>
                  </pic:spPr>
                </pic:pic>
              </a:graphicData>
            </a:graphic>
          </wp:inline>
        </w:drawing>
      </w:r>
    </w:p>
    <w:p>
      <w:pPr>
        <w:jc w:val="center"/>
      </w:pPr>
      <w:r>
        <w:rPr>
          <w:rFonts w:ascii="Calibri" w:hAnsi="Calibri" w:eastAsia="맑은 고딕"/>
          <w:b w:val="0"/>
          <w:color w:val="888888"/>
          <w:sz w:val="17"/>
        </w:rPr>
        <w:t>그림 3</w:t>
      </w:r>
    </w:p>
    <w:p>
      <w:pPr>
        <w:pStyle w:val="Heading2"/>
      </w:pPr>
      <w:r/>
      <w:r>
        <w:rPr>
          <w:rFonts w:ascii="Calibri" w:hAnsi="Calibri" w:eastAsia="맑은 고딕"/>
          <w:b/>
          <w:color w:val="333333"/>
          <w:sz w:val="24"/>
        </w:rPr>
        <w:t>기술 유형별 시장 점유율 및 세그먼트 분석</w:t>
      </w:r>
    </w:p>
    <w:p>
      <w:pPr>
        <w:jc w:val="both"/>
      </w:pPr>
      <w:r>
        <w:rPr>
          <w:rFonts w:ascii="Calibri" w:hAnsi="Calibri" w:eastAsia="맑은 고딕"/>
          <w:b w:val="0"/>
          <w:color w:val="333333"/>
          <w:sz w:val="21"/>
        </w:rPr>
        <w:t>자동 광학 검사(Automated Optical Inspection, AOI) 시장은 단순한 2D 패턴 검사를 넘어, 반도체 패키징의 고도화(Advanced Packaging)에 따라 기술적 세그먼트가 급격히 재편되고 있습니다. 특히 HBM(High Bandwidth Memory)과 같이 적층 구조가 복잡해지는 공정에서는 기존의 평면적 검사 방식으로는 한계가 명확하며, 이에 따라 3D AOI 및 인라인(In-line) 시스템이 시장의 성장을 견인하는 핵심 동력으로 부상하고 있습니다.</w:t>
      </w:r>
    </w:p>
    <w:p>
      <w:pPr>
        <w:pStyle w:val="Heading3"/>
      </w:pPr>
      <w:r/>
      <w:r>
        <w:rPr>
          <w:rFonts w:ascii="Calibri" w:hAnsi="Calibri" w:eastAsia="맑은 고딕"/>
          <w:b/>
          <w:color w:val="888888"/>
          <w:sz w:val="21"/>
        </w:rPr>
        <w:t>3D AOI 기술의 부상 및 시장 지배력</w:t>
      </w:r>
    </w:p>
    <w:p>
      <w:pPr>
        <w:jc w:val="both"/>
      </w:pPr>
      <w:r>
        <w:rPr>
          <w:rFonts w:ascii="Calibri" w:hAnsi="Calibri" w:eastAsia="맑은 고딕"/>
          <w:b w:val="0"/>
          <w:color w:val="333333"/>
          <w:sz w:val="21"/>
        </w:rPr>
        <w:t>현재 AOI 시장의 가장 주목할 만한 변화는 2D 검사에서 3D AOI로의 패러다임 전환입니다. 기존 2D AOI가 이미지의 명암(Contrast)과 패턴의 유무를 판단하는 데 집중했다면, 3D AOI는 광학적 프로파일링(Optical Profiling)을 통해 결함의 높이(Height), 부피(Volume), 그리고 미세한 단차(Step Height)를 정밀하게 측정합니다.</w:t>
      </w:r>
    </w:p>
    <w:p>
      <w:pPr>
        <w:jc w:val="both"/>
      </w:pPr>
      <w:r>
        <w:rPr>
          <w:rFonts w:ascii="Calibri" w:hAnsi="Calibri" w:eastAsia="맑은 고딕"/>
          <w:b w:val="0"/>
          <w:color w:val="333333"/>
          <w:sz w:val="21"/>
        </w:rPr>
        <w:t>이러한 기술적 진화는 다음과 같은 세그먼트별 특성을 보입니다.</w:t>
      </w:r>
    </w:p>
    <w:p>
      <w:pPr>
        <w:pStyle w:val="ListBullet"/>
        <w:jc w:val="both"/>
      </w:pPr>
      <w:r>
        <w:rPr>
          <w:rFonts w:ascii="Calibri" w:hAnsi="Calibri" w:eastAsia="맑은 고딕"/>
          <w:b/>
          <w:color w:val="333333"/>
          <w:sz w:val="21"/>
        </w:rPr>
        <w:t>3D AOI 세그먼트</w:t>
      </w:r>
      <w:r>
        <w:rPr>
          <w:rFonts w:ascii="Calibri" w:hAnsi="Calibri" w:eastAsia="맑은 고딕"/>
          <w:b w:val="0"/>
          <w:color w:val="333333"/>
          <w:sz w:val="21"/>
        </w:rPr>
        <w:t>: 3D AOI 시장은 매우 높은 성장 잠재력을 보유하고 있습니다. 관련 보고서에 따르면 3D AOI 시장 규모는 2026년 32억 달러 규모로 평가되며, 연평균 성장률(CAGR)이 무려 45.7%에 달할 것으로 예측되는 초고성장 분야입니다 [출처: businessresearchinsights.com]. 이는 반도체 칩의 적층 단수가 높아짐에 따라 Bump의 높이 불균형, Die 간의 기울어짐(Tilt), 그리고 미세한 Void를 검출하기 위해 3D 측정 기술이 필수적이기 때문입니다.</w:t>
      </w:r>
    </w:p>
    <w:p>
      <w:pPr>
        <w:pStyle w:val="ListBullet"/>
        <w:jc w:val="both"/>
      </w:pPr>
      <w:r>
        <w:rPr>
          <w:rFonts w:ascii="Calibri" w:hAnsi="Calibri" w:eastAsia="맑은 고딕"/>
          <w:b/>
          <w:color w:val="333333"/>
          <w:sz w:val="21"/>
        </w:rPr>
        <w:t>인라인(In-line) 시스템의 확산</w:t>
      </w:r>
      <w:r>
        <w:rPr>
          <w:rFonts w:ascii="Calibri" w:hAnsi="Calibri" w:eastAsia="맑은 고딕"/>
          <w:b w:val="0"/>
          <w:color w:val="333333"/>
          <w:sz w:val="21"/>
        </w:rPr>
        <w:t>: 생산 효율성을 극대화하기 위해 검사 공정이 개별 장비 단위가 아닌, 전체 생산 라인에 통합된 인라인 시스템 채택이 급증하고 있습니다. 인라인 3D AOI 부문은 전체 시장 점유율의 약 60%를 차지하며 시장을 주도하고 있습니다 [출처: businessresearchinsights.com]. 이는 실시간 결함 검출(Real-time Defect Detection)을 통해 수율(Yield)을 즉각적으로 관리해야 하는 HBM 및 선단 공정의 요구사항이 반영된 결과입니다.</w:t>
      </w:r>
    </w:p>
    <w:p>
      <w:pPr>
        <w:pStyle w:val="Heading3"/>
      </w:pPr>
      <w:r/>
      <w:r>
        <w:rPr>
          <w:rFonts w:ascii="Calibri" w:hAnsi="Calibri" w:eastAsia="맑은 고딕"/>
          <w:b/>
          <w:color w:val="888888"/>
          <w:sz w:val="21"/>
        </w:rPr>
        <w:t>기술 유형별 시장 세그먼트 비교</w:t>
      </w:r>
    </w:p>
    <w:p>
      <w:pPr>
        <w:jc w:val="both"/>
      </w:pPr>
      <w:r>
        <w:rPr>
          <w:rFonts w:ascii="Calibri" w:hAnsi="Calibri" w:eastAsia="맑은 고딕"/>
          <w:b w:val="0"/>
          <w:color w:val="333333"/>
          <w:sz w:val="21"/>
        </w:rPr>
        <w:t>시장 내 주요 기술 유형에 따른 특징과 시장 지위를 비교하면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2D AOI (Traditional)</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3D AOI (Advanced)</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인라인 시스템 (In-line)</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검사 항목</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패턴 단선/단락, 이물질(Particle)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높이, 부피, 휨(Warpage), 단차</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실시간 공정 모니터링, 수율 피드백</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기술적 난이도</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상대적으로 낮음</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높음 (Depth 정보 추출 필요)</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(Tact Time 최적화 필수)</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적용 분야</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범용 PCB, 단순 SMT 공정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HBM, FC-BGA, 2.5D/3D 패키징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양산 라인 (High-volume Mfg)</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시장 성장성</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성숙기 (Low Growth)</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초고성장기 (High Growth)</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성장기 (High Growth)</w:t>
            </w:r>
          </w:p>
        </w:tc>
      </w:tr>
    </w:tbl>
    <w:p>
      <w:pPr>
        <w:pStyle w:val="Heading3"/>
      </w:pPr>
      <w:r/>
      <w:r>
        <w:rPr>
          <w:rFonts w:ascii="Calibri" w:hAnsi="Calibri" w:eastAsia="맑은 고딕"/>
          <w:b/>
          <w:color w:val="888888"/>
          <w:sz w:val="21"/>
        </w:rPr>
        <w:t>시장 트렌드 및 시사점</w:t>
      </w:r>
    </w:p>
    <w:p>
      <w:pPr>
        <w:jc w:val="both"/>
      </w:pPr>
      <w:r>
        <w:rPr>
          <w:rFonts w:ascii="Calibri" w:hAnsi="Calibri" w:eastAsia="맑은 고딕"/>
          <w:b w:val="0"/>
          <w:color w:val="333333"/>
          <w:sz w:val="21"/>
        </w:rPr>
        <w:t>최근 AOI 시장은 단순한 '불량 검출'에서 '데이터 기반의 공정 제어'로 진화하고 있습니다. AI(Artificial Intelligence) 지원 검사 시스템은 표준적인 AOI 시스템 대비 약 33% 더 많은 공장에서 채택되고 있으며, 이는 AI 알고리즘을 통한 과검(Over-kill) 방지와 미세 결함 분류 능력의 향상이 시장 점유율 확대로 이어지고 있음을 시사합니다 [출처: businessresearchinsights.com].</w:t>
      </w:r>
    </w:p>
    <w:p>
      <w:pPr>
        <w:jc w:val="both"/>
      </w:pPr>
      <w:r>
        <w:rPr>
          <w:rFonts w:ascii="Calibri" w:hAnsi="Calibri" w:eastAsia="맑은 고딕"/>
          <w:b w:val="0"/>
          <w:color w:val="333333"/>
          <w:sz w:val="21"/>
        </w:rPr>
        <w:t xml:space="preserve">결론적으로, 향후 AOI 시장의 점유율은 </w:t>
      </w:r>
      <w:r>
        <w:rPr>
          <w:rFonts w:ascii="Calibri" w:hAnsi="Calibri" w:eastAsia="맑은 고딕"/>
          <w:b/>
          <w:color w:val="333333"/>
          <w:sz w:val="21"/>
        </w:rPr>
        <w:t>'3D 측정 정밀도'</w:t>
      </w:r>
      <w:r>
        <w:rPr>
          <w:rFonts w:ascii="Calibri" w:hAnsi="Calibri" w:eastAsia="맑은 고딕"/>
          <w:b w:val="0"/>
          <w:color w:val="333333"/>
          <w:sz w:val="21"/>
        </w:rPr>
        <w:t xml:space="preserve">와 </w:t>
      </w:r>
      <w:r>
        <w:rPr>
          <w:rFonts w:ascii="Calibri" w:hAnsi="Calibri" w:eastAsia="맑은 고딕"/>
          <w:b/>
          <w:color w:val="333333"/>
          <w:sz w:val="21"/>
        </w:rPr>
        <w:t>'AI 기반의 분석 역량'</w:t>
      </w:r>
      <w:r>
        <w:rPr>
          <w:rFonts w:ascii="Calibri" w:hAnsi="Calibri" w:eastAsia="맑은 고딕"/>
          <w:b w:val="0"/>
          <w:color w:val="333333"/>
          <w:sz w:val="21"/>
        </w:rPr>
        <w:t xml:space="preserve">, 그리고 이를 생산 라인에 얼마나 유기적으로 통합할 수 있는지를 결정하는 </w:t>
      </w:r>
      <w:r>
        <w:rPr>
          <w:rFonts w:ascii="Calibri" w:hAnsi="Calibri" w:eastAsia="맑은 고딕"/>
          <w:b/>
          <w:color w:val="333333"/>
          <w:sz w:val="21"/>
        </w:rPr>
        <w:t>'인라인 통합 기술력'</w:t>
      </w:r>
      <w:r>
        <w:rPr>
          <w:rFonts w:ascii="Calibri" w:hAnsi="Calibri" w:eastAsia="맑은 고딕"/>
          <w:b w:val="0"/>
          <w:color w:val="333333"/>
          <w:sz w:val="21"/>
        </w:rPr>
        <w:t>에 의해 결정될 것으로 전망됩니다. 특히 크레셈(CRESSEM)이 주력하는 FC-BGA 및 HBM 검사 영역은 이러한 고부가가치 3D AOI 및 인라인 기술이 집중되는 핵심 세그먼트입니다.</w:t>
      </w:r>
    </w:p>
    <w:p>
      <w:pPr>
        <w:pStyle w:val="Heading2"/>
      </w:pPr>
      <w:r/>
      <w:r>
        <w:rPr>
          <w:rFonts w:ascii="Calibri" w:hAnsi="Calibri" w:eastAsia="맑은 고딕"/>
          <w:b/>
          <w:color w:val="333333"/>
          <w:sz w:val="24"/>
        </w:rPr>
        <w:t>차세대 검사 기술의 기술적 과제 및 대응 전략</w:t>
      </w:r>
    </w:p>
    <w:p>
      <w:pPr>
        <w:jc w:val="both"/>
      </w:pPr>
      <w:r>
        <w:rPr>
          <w:rFonts w:ascii="Calibri" w:hAnsi="Calibri" w:eastAsia="맑은 고딕"/>
          <w:b w:val="0"/>
          <w:color w:val="333333"/>
          <w:sz w:val="21"/>
        </w:rPr>
        <w:t>반도체 패키징 기술이 기존의 Bump 기반 적층 방식에서 Hybrid Bonding(구리 직접 접합) 및 HBM4(6세대 고대역폭 메모리)로 급격히 전환됨에 따라, 검사 장비가 직면한 기술적 난이도는 기하급수적으로 상승하고 있습니다. 특히 HBM4는 로직 다이(Logic Die)와 DRAM 다이가 결합되는 이종 집적(Heterogeneous Integration) 구조를 취하며, 이는 기존의 검사 패러다임을 완전히 바꾸는 전환점이 되고 있습니다. 본 섹션에서는 차세대 공정에서 발생하는 핵심 기술적 과제를 분석하고, 이에 대한 크레셈(CRESSEM)의 전략적 대응 방안을 심층적으로 다룹니다.</w:t>
      </w:r>
    </w:p>
    <w:p>
      <w:pPr>
        <w:pStyle w:val="Heading3"/>
      </w:pPr>
      <w:r/>
      <w:r>
        <w:rPr>
          <w:rFonts w:ascii="Calibri" w:hAnsi="Calibri" w:eastAsia="맑은 고딕"/>
          <w:b/>
          <w:color w:val="888888"/>
          <w:sz w:val="21"/>
        </w:rPr>
        <w:t>1. Hybrid Bonding 도입에 따른 초정밀 정렬(Alignment) 및 계면 검사 과제</w:t>
      </w:r>
    </w:p>
    <w:p>
      <w:pPr>
        <w:jc w:val="both"/>
      </w:pPr>
      <w:r>
        <w:rPr>
          <w:rFonts w:ascii="Calibri" w:hAnsi="Calibri" w:eastAsia="맑은 고딕"/>
          <w:b w:val="0"/>
          <w:color w:val="333333"/>
          <w:sz w:val="21"/>
        </w:rPr>
        <w:t>HBM4의 핵심 기술로 주목받는 Hybrid Bonding(Cu-to-Cu Bonding)은 기존의 Micro Bump를 사용하는 방식 대신, 구리(Cu) 패드와 절연막(Dielectric)을 직접 맞붙이는 기술입니다. 이 방식은 범프가 차지하던 물리적 공간을 제거하여 적층 높이를 획기적으로 낮추고 데이터 전송 효율을 극대화할 수 있으나, 검사 측면에서는 다음과 같은 극도의 정밀도를 요구합니다.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초미세 정렬 오차(Misalignment) 제어:</w:t>
      </w:r>
      <w:r>
        <w:rPr>
          <w:rFonts w:ascii="Calibri" w:hAnsi="Calibri" w:eastAsia="맑은 고딕"/>
          <w:b w:val="0"/>
          <w:color w:val="333333"/>
          <w:sz w:val="21"/>
        </w:rPr>
        <w:t xml:space="preserve"> Hybrid Bonding은 기존 Bump 방식보다 훨씬 미세한 수준의 정렬(Alignment) 정밀도를 요구합니다. 구리 패드 간의 접합이 완벽하게 이루어지지 않을 경우, 접촉 저항의 급증이나 신호 전달 오류가 발생하므로, 나노미터(nm) 단위에 근접하는 초고해상도 정렬 검사 기술이 필수적입니다 [출처: 분석_​HBM4​세대전환에따른크레셈​CRESSEM​의검사장_​20260509_​001.pdf].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접합부 미세 간극 및 이물질 검출:</w:t>
      </w:r>
      <w:r>
        <w:rPr>
          <w:rFonts w:ascii="Calibri" w:hAnsi="Calibri" w:eastAsia="맑은 고딕"/>
          <w:b w:val="0"/>
          <w:color w:val="333333"/>
          <w:sz w:val="21"/>
        </w:rPr>
        <w:t xml:space="preserve"> Cu-to-Cu 접합 시 발생하는 미세한 간극(Gap)이나 아주 작은 크기의 이물질(Particle)은 접합 불량의 직접적인 원인이 됩니다. 기존의 2D 광학 검사로는 이러한 3차원적 결함을 식별하기 어려우며, 접합 계면의 상태를 정확히 파악할 수 있는 차세대 3D AOI(Automated Optical Inspection) 기술이 요구됩니다 [출처: 분석_​크레셈​CRESSEM_​20260509_​001.pdf].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검출의 한계 극복:</w:t>
      </w:r>
      <w:r>
        <w:rPr>
          <w:rFonts w:ascii="Calibri" w:hAnsi="Calibri" w:eastAsia="맑은 고딕"/>
          <w:b w:val="0"/>
          <w:color w:val="333333"/>
          <w:sz w:val="21"/>
        </w:rPr>
        <w:t xml:space="preserve"> 접합 면적이 극도로 미세해짐에 따라, 신호 대 잡음비(SNR)를 극대화하여 미세 결함을 노이즈와 구분해내는 고성능 광학 엔진 및 AI 기반의 결함 분류 알고리즘이 장비의 핵심 경쟁력이 될 것입니다.</w:t>
      </w:r>
    </w:p>
    <w:p>
      <w:pPr>
        <w:pStyle w:val="Heading3"/>
      </w:pPr>
      <w:r/>
      <w:r>
        <w:rPr>
          <w:rFonts w:ascii="Calibri" w:hAnsi="Calibri" w:eastAsia="맑은 고딕"/>
          <w:b/>
          <w:color w:val="888888"/>
          <w:sz w:val="21"/>
        </w:rPr>
        <w:t>2. HBM4 고단 적층에 따른 물리적 변형(Warpage) 및 구조적 결함 관리</w:t>
      </w:r>
    </w:p>
    <w:p>
      <w:pPr>
        <w:jc w:val="both"/>
      </w:pPr>
      <w:r>
        <w:rPr>
          <w:rFonts w:ascii="Calibri" w:hAnsi="Calibri" w:eastAsia="맑은 고딕"/>
          <w:b w:val="0"/>
          <w:color w:val="333333"/>
          <w:sz w:val="21"/>
        </w:rPr>
        <w:t>HBM4는 12단, 16단을 넘어 그 이상의 고단 적층 구조로 진화하고 있습니다. 적층 수가 증가할수록 웨이퍼 및 패키지 전체에 가해지는 물리적 응력(Stress)이 누적되며, 이는 검사 정밀도를 저하시키는 치명적인 요인이 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Warpage(휨) 및 Tilt 제어:</w:t>
      </w:r>
      <w:r>
        <w:rPr>
          <w:rFonts w:ascii="Calibri" w:hAnsi="Calibri" w:eastAsia="맑은 고딕"/>
          <w:b w:val="0"/>
          <w:color w:val="333333"/>
          <w:sz w:val="21"/>
        </w:rPr>
        <w:t xml:space="preserve"> 고단 적층 시 발생하는 기판 및 Die의 휨(Warpage) 현상은 검사 렌즈와 시료 사이의 초점 거리(Depth of Field)를 변화시켜 검사 데이터의 왜곡을 초래합니다. 따라서 변형된 상태에서도 정확한 3D 프로파일링 데이터를 추출할 수 있는 고정밀 스테이지 제어 기술과 실시간 Warpage 보정 기술이 필수적입니다 [출처: 분석_​HBM4​세대전환에따른크레셈​CRESSEM​의검사장_​20260509_​001.pdf].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TSV(Through Silicon Via) 및 내부 Void 검사:</w:t>
      </w:r>
      <w:r>
        <w:rPr>
          <w:rFonts w:ascii="Calibri" w:hAnsi="Calibri" w:eastAsia="맑은 고딕"/>
          <w:b w:val="0"/>
          <w:color w:val="333333"/>
          <w:sz w:val="21"/>
        </w:rPr>
        <w:t xml:space="preserve"> 적층 구조 내부의 TSV 형성 상태와 칩 사이의 언더필(Underfill) 공정 중 발생하는 미세한 기포(Void)는 제품의 신뢰성을 결정짓는 요소입니다. 이를 확인하기 위해 고해상도 3D X-ray(Computed Tomography) 기술과 같은 비파괴 검사(Non-Destructive Inspection) 기술의 도입이 가속화되고 있습니다 [출처: 보고서_​삼성전자​HBM4​전환에따른검사기술동향및​대응전략_​20260509_​001.pdf].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이종 집적(Heterogeneous Integration) 대응:</w:t>
      </w:r>
      <w:r>
        <w:rPr>
          <w:rFonts w:ascii="Calibri" w:hAnsi="Calibri" w:eastAsia="맑은 고딕"/>
          <w:b w:val="0"/>
          <w:color w:val="333333"/>
          <w:sz w:val="21"/>
        </w:rPr>
        <w:t xml:space="preserve"> HBM4는 로직 다이와 DRAM 다이가 결합되는 복합 구조이므로, 각기 다른 특성을 가진 다이 간의 인터포저(Interposer) 및 서브스트레이트(Substrate) 검사 역량이 통합적으로 요구됩니다. 크레셈은 기존 FC-BGA 및 2.5D 기판 검사에서 축적된 기술을 통해 이 영역으로의 확장을 도모하고 있습니다 [출처: 분석_​HBM4​세대전환에따른크레셈​CRESSEM​의검사장_​20260509_​001.pdf].</w:t>
      </w:r>
    </w:p>
    <w:p>
      <w:pPr>
        <w:pStyle w:val="Heading3"/>
      </w:pPr>
      <w:r/>
      <w:r>
        <w:rPr>
          <w:rFonts w:ascii="Calibri" w:hAnsi="Calibri" w:eastAsia="맑은 고딕"/>
          <w:b/>
          <w:color w:val="888888"/>
          <w:sz w:val="21"/>
        </w:rPr>
        <w:t>3. 크레셈(CRESSEM)의 기술적 대응 전략 및 로드맵</w:t>
      </w:r>
    </w:p>
    <w:p>
      <w:pPr>
        <w:jc w:val="both"/>
      </w:pPr>
      <w:r>
        <w:rPr>
          <w:rFonts w:ascii="Calibri" w:hAnsi="Calibri" w:eastAsia="맑은 고딕"/>
          <w:b w:val="0"/>
          <w:color w:val="333333"/>
          <w:sz w:val="21"/>
        </w:rPr>
        <w:t>크레셈은 이러한 기술적 난제를 극복하고 HBM4 시장의 게임 체인저(Game Changer)로 도약하기 위해 다음과 같은 단계별 대응 전략을 수립하고 있습니다.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대응 기술</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상세 내용 및 기대 효과</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1: 초정밀 검사 모듈 개발</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Hybrid Bonding 전용 3D AOI</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Cu-to-Cu 접합부의 미세 간극 및 이물질을 검출하기 위한 초고해상도 광학 모듈 개발 [출처: 분석_​HBM4​세대전환에따른크레셈​CRESSEM​의검사장_​20260509_​001.pdf]</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2: AI 기반 지능형 검사</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AI-Driven Defect Classification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Deep Learning 알고리즘을 통해 미세 결함과 정상 노이즈를 구분, 과검(Over-kill)률을 획기적으로 개선 [출처: 분석_​크레셈​CRESSEM_​20260509_​001.pdf]</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3: 수율 최적화 솔루션</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Data-Driven Yield Analysis</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데이터를 분석하여 전공정(Fab)의 결함 원인을 역추적(Root Cause Analysis)하는 데이터 통합 플랫폼 구축 [출처: 분석_​크레셈​CRESSEM_​20260509_​001.pdf]</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4: 공정 맞춤형 대응</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Modular Inspection System</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제조사(SK하이닉스, 삼성전자 등) 및 패키징 업체(TSMC 등)별 상이한 공정에 최적화된 모듈형 장비 공급 [출처: 분석_​HBM4​세대전환에따른크레셈​CRESSEM​의검사장_​20260509_​001.pdf]</w:t>
            </w:r>
          </w:p>
        </w:tc>
      </w:tr>
    </w:tbl>
    <w:p>
      <w:pPr>
        <w:pStyle w:val="Heading4"/>
        <w:ind w:left="227"/>
      </w:pPr>
      <w:r/>
      <w:r>
        <w:rPr>
          <w:rFonts w:ascii="Calibri" w:hAnsi="Calibri" w:eastAsia="맑은 고딕"/>
          <w:b/>
          <w:color w:val="888888"/>
          <w:sz w:val="20"/>
        </w:rPr>
        <w:t>[전략적 핵심 요약]</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Hybrid Bonding 시장 선점:</w:t>
      </w:r>
      <w:r>
        <w:rPr>
          <w:rFonts w:ascii="Calibri" w:hAnsi="Calibri" w:eastAsia="맑은 고딕"/>
          <w:b w:val="0"/>
          <w:color w:val="333333"/>
          <w:sz w:val="21"/>
        </w:rPr>
        <w:t xml:space="preserve"> 기존 Bump 방식에서 Hybrid Bonding으로의 패러다임 변화에 맞춰, 초미세 정렬 및 계면 검사가 가능한 전용 솔루션을 조기에 확보하여 시장 주도권을 선점합니다.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AI 통합을 통한 스마트 팩토리 구현:</w:t>
      </w:r>
      <w:r>
        <w:rPr>
          <w:rFonts w:ascii="Calibri" w:hAnsi="Calibri" w:eastAsia="맑은 고딕"/>
          <w:b w:val="0"/>
          <w:color w:val="333333"/>
          <w:sz w:val="21"/>
        </w:rPr>
        <w:t xml:space="preserve"> 단순한 결함 검출(Detection)을 넘어, 수율(Yield) 향상에 직접적으로 기여할 수 있는 데이터 분석 솔루션을 제공함으로써 고객사의 공정 최적화를 돕는 파트너로 진화합니다 [출처: 기업 분석 보고서 (주)크레셈 (CRESSEM)].</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고객 맞춤형(Customized) 전략:</w:t>
      </w:r>
      <w:r>
        <w:rPr>
          <w:rFonts w:ascii="Calibri" w:hAnsi="Calibri" w:eastAsia="맑은 고딕"/>
          <w:b w:val="0"/>
          <w:color w:val="333333"/>
          <w:sz w:val="21"/>
        </w:rPr>
        <w:t xml:space="preserve"> HBM4 제조 공정의 다양성을 고려하여, 기성 제품이 아닌 고객사의 특정 공정(예: CoWoS 기반 HBM 적층)에 최적화된 맞춤형 모듈을 신속하게 공급함으로써 고객 락인(Lock-in) 효과를 강화합니다 [출처: 분석_​HBM4​세대전환에따른크레셈​CRESSEM​의검사장_​20260509_​001.pdf].</w:t>
      </w:r>
    </w:p>
    <w:p>
      <w:pPr>
        <w:pStyle w:val="Heading2"/>
      </w:pPr>
      <w:r/>
      <w:r>
        <w:rPr>
          <w:rFonts w:ascii="Calibri" w:hAnsi="Calibri" w:eastAsia="맑은 고딕"/>
          <w:b/>
          <w:color w:val="333333"/>
          <w:sz w:val="24"/>
        </w:rPr>
        <w:t>결론/시사점</w:t>
      </w:r>
    </w:p>
    <w:p>
      <w:pPr>
        <w:jc w:val="both"/>
      </w:pPr>
      <w:r>
        <w:rPr>
          <w:rFonts w:ascii="Calibri" w:hAnsi="Calibri" w:eastAsia="맑은 고딕"/>
          <w:b w:val="0"/>
          <w:color w:val="333333"/>
          <w:sz w:val="21"/>
        </w:rPr>
        <w:t>본 보고서에서는 AOI(Automated Optical Inspection) 검사 시스템의 핵심 성능 지표인 SNR(Signal-to-Noise Ratio, 신호 대 잡음비)과 결함 검출 확률(PoD, Probability of Detection) 사이의 수학적 상관관계를 분석하였으며, 이를 바탕으로 급격한 성장이 예상되는 글로벌 AOI 시장의 동향을 고찰하였다. 반도체 패키징 기술이 HBM4, Hybrid Bonding, 2.5D/3D 적층 구조로 고도화됨에 따라, 단순한 불량 판정을 넘어 공정 수율(Yield)을 결정짓는 핵심 요소로서의 검사 기술 역량이 기업의 생존을 좌우할 것으로 전망된다.</w:t>
      </w:r>
    </w:p>
    <w:p>
      <w:pPr>
        <w:jc w:val="both"/>
      </w:pPr>
      <w:r>
        <w:rPr>
          <w:rFonts w:ascii="Calibri" w:hAnsi="Calibri" w:eastAsia="맑은 고딕"/>
          <w:b w:val="0"/>
          <w:color w:val="333333"/>
          <w:sz w:val="21"/>
        </w:rPr>
        <w:t>분석된 내용을 종합하여, 차세대 반도체 검사 시장을 선점하기 위한 전략적 로드맵(Strategic Roadmap)을 다음과 같이 제언한다.</w:t>
      </w:r>
    </w:p>
    <w:p>
      <w:pPr>
        <w:jc w:val="both"/>
      </w:pPr>
      <w:r>
        <w:rPr>
          <w:rFonts w:ascii="Calibri" w:hAnsi="Calibri" w:eastAsia="맑은 고딕"/>
          <w:b/>
          <w:color w:val="333333"/>
          <w:sz w:val="21"/>
        </w:rPr>
        <w:t>1. 초정밀 검사 기술 확보를 통한 기술적 진입장벽 구축</w:t>
      </w:r>
    </w:p>
    <w:p>
      <w:pPr>
        <w:jc w:val="both"/>
      </w:pPr>
      <w:r>
        <w:rPr>
          <w:rFonts w:ascii="Calibri" w:hAnsi="Calibri" w:eastAsia="맑은 고딕"/>
          <w:b w:val="0"/>
          <w:color w:val="333333"/>
          <w:sz w:val="21"/>
        </w:rPr>
        <w:t>HBM4 세대로의 전환과 Hybrid Bonding(구리 직접 접합) 공정의 도입은 기존 Bump 방식보다 훨씬 미세한 정렬(Alignment)과 초미세 간극 측정을 요구한다. 따라서 SNR을 극대화할 수 있는 고해상도 광학 엔진과 AI 기반의 노이즈 제거 기술을 결합하여, 미세 결함과 정상적인 노이즈를 명확히 구분하는 기술적 우위를 확보해야 한다. 이는 과검(Over-kill)률을 낮추고 검사 신뢰도를 높여 고객사의 생산 효율성을 극대화하는 핵심 동력이 될 것이다 [출처: 분석_​크레셈​CRESSEM_​20260509_​001.pdf].</w:t>
      </w:r>
    </w:p>
    <w:p>
      <w:pPr>
        <w:jc w:val="both"/>
      </w:pPr>
      <w:r>
        <w:rPr>
          <w:rFonts w:ascii="Calibri" w:hAnsi="Calibri" w:eastAsia="맑은 고딕"/>
          <w:b/>
          <w:color w:val="333333"/>
          <w:sz w:val="21"/>
        </w:rPr>
        <w:t>2. AI 기반 데이터 통합 및 수율 관리 솔루션(Yield Management) 제공</w:t>
      </w:r>
    </w:p>
    <w:p>
      <w:pPr>
        <w:jc w:val="both"/>
      </w:pPr>
      <w:r>
        <w:rPr>
          <w:rFonts w:ascii="Calibri" w:hAnsi="Calibri" w:eastAsia="맑은 고딕"/>
          <w:b w:val="0"/>
          <w:color w:val="333333"/>
          <w:sz w:val="21"/>
        </w:rPr>
        <w:t>단순히 결함을 검출하는 단계를 넘어, 검사 데이터를 분석하여 전공정(Fab)의 결함 원인을 역추적(Root Cause Analysis)할 수 있는 데이터 분석 플랫폼을 장비에 통합해야 한다. 검사 데이터를 기반으로 한 피드백 시스템은 고객사의 수율 향상에 직접적으로 기여하며, 이는 장비의 단순 판매를 넘어 고객사의 공정 파트너로서 락인(Lock-in) 효과를 창출하는 강력한 경쟁력이 된다 [출처: 분석_​크레셈​CRESSEM_​20260509_​001.pdf, 기업 분석 보고서 (주)크레셈 (CRESSEM)].</w:t>
      </w:r>
    </w:p>
    <w:p>
      <w:pPr>
        <w:jc w:val="both"/>
      </w:pPr>
      <w:r>
        <w:rPr>
          <w:rFonts w:ascii="Calibri" w:hAnsi="Calibri" w:eastAsia="맑은 고딕"/>
          <w:b/>
          <w:color w:val="333333"/>
          <w:sz w:val="21"/>
        </w:rPr>
        <w:t>3. 고객 맞춤형 모듈화 전략을 통한 시장 대응력 강화</w:t>
      </w:r>
    </w:p>
    <w:p>
      <w:pPr>
        <w:jc w:val="both"/>
      </w:pPr>
      <w:r>
        <w:rPr>
          <w:rFonts w:ascii="Calibri" w:hAnsi="Calibri" w:eastAsia="맑은 고딕"/>
          <w:b w:val="0"/>
          <w:color w:val="333333"/>
          <w:sz w:val="21"/>
        </w:rPr>
        <w:t>HBM 제조사(SK하이닉스, 삼성전자 등) 및 패키징 업체(TSMC 등)마다 상이한 공정 방식과 적층 구조를 고려할 때, 기성 제품(Off-the-shelf)이 아닌 고객사의 특정 공정에 최적화된 맞춤형 모듈(Customized Module) 공급 전략이 필수적이다. 특히 Warpage(휨) 제어 및 3D 프로파일링 기술을 결합한 모듈형 장비 설계는 급변하는 고객사의 요구사항에 신속하게 대응할 수 있는 유연성을 제공할 것이다 [출처: 매뉴얼_​HBMAdvancedI​nspectionSys​t_​20260509_​001.pdf].</w:t>
      </w:r>
    </w:p>
    <w:p>
      <w:pPr>
        <w:jc w:val="both"/>
      </w:pPr>
      <w:r>
        <w:rPr>
          <w:rFonts w:ascii="Calibri" w:hAnsi="Calibri" w:eastAsia="맑은 고딕"/>
          <w:b w:val="0"/>
          <w:color w:val="333333"/>
          <w:sz w:val="21"/>
        </w:rPr>
        <w:t>결론적으로, 크레셈은 기존의 FC-BGA 및 2.5D 기판 검사에서 축적된 고정밀 광학 및 AI 비전 기술을 HBM4와 같은 고부가가치 메모리 검사 영역으로 신속히 확장해야 한다. 기술적 난이도가 상승하는 패키징 트렌드를 위기가 아닌 시장 주도권 확보의 기회로 삼아, 초정밀·고속·지능화된 검사 솔루션을 통해 글로벌 반도체 공급망 내 핵심 플레이어로 도약해야 한다 [출처: 분석_​크레셈​CRESSEM_​20260509_​001.pdf].</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25">
        <w:r>
          <w:rPr>
            <w:rFonts w:ascii="Calibri" w:hAnsi="Calibri" w:eastAsia="맑은 고딕"/>
            <w:b w:val="0"/>
            <w:color w:val="1F5CA8"/>
            <w:sz w:val="21"/>
            <w:u w:val="single"/>
          </w:rPr>
          <w:t>신호 대 잡음비 (SNR, Signal-to-Noise Ratio) — 도롱이의 전자공학소</w:t>
        </w:r>
      </w:hyperlink>
    </w:p>
    <w:p>
      <w:pPr>
        <w:ind w:left="510" w:hanging="510"/>
        <w:jc w:val="both"/>
      </w:pPr>
      <w:r>
        <w:rPr>
          <w:rFonts w:ascii="Calibri" w:hAnsi="Calibri" w:eastAsia="맑은 고딕"/>
          <w:b w:val="0"/>
          <w:color w:val="333333"/>
          <w:sz w:val="21"/>
        </w:rPr>
        <w:t xml:space="preserve">2. </w:t>
      </w:r>
      <w:hyperlink r:id="rId26">
        <w:r>
          <w:rPr>
            <w:rFonts w:ascii="Calibri" w:hAnsi="Calibri" w:eastAsia="맑은 고딕"/>
            <w:b w:val="0"/>
            <w:color w:val="1F5CA8"/>
            <w:sz w:val="21"/>
            <w:u w:val="single"/>
          </w:rPr>
          <w:t>Math99—LaTeX 온라인 편집_온라인 LaTeX 공식 편집기(수학, 물리 및 ...</w:t>
        </w:r>
      </w:hyperlink>
    </w:p>
    <w:p>
      <w:pPr>
        <w:ind w:left="510" w:hanging="510"/>
        <w:jc w:val="both"/>
      </w:pPr>
      <w:r>
        <w:rPr>
          <w:rFonts w:ascii="Calibri" w:hAnsi="Calibri" w:eastAsia="맑은 고딕"/>
          <w:b w:val="0"/>
          <w:color w:val="333333"/>
          <w:sz w:val="21"/>
        </w:rPr>
        <w:t xml:space="preserve">3. </w:t>
      </w:r>
      <w:hyperlink r:id="rId27">
        <w:r>
          <w:rPr>
            <w:rFonts w:ascii="Calibri" w:hAnsi="Calibri" w:eastAsia="맑은 고딕"/>
            <w:b w:val="0"/>
            <w:color w:val="1F5CA8"/>
            <w:sz w:val="21"/>
            <w:u w:val="single"/>
          </w:rPr>
          <w:t>AI/ML 논문 읽기에 필요한 수학 + LaTeX/KaTeX 총정리</w:t>
        </w:r>
      </w:hyperlink>
    </w:p>
    <w:p>
      <w:pPr>
        <w:ind w:left="510" w:hanging="510"/>
        <w:jc w:val="both"/>
      </w:pPr>
      <w:r>
        <w:rPr>
          <w:rFonts w:ascii="Calibri" w:hAnsi="Calibri" w:eastAsia="맑은 고딕"/>
          <w:b w:val="0"/>
          <w:color w:val="333333"/>
          <w:sz w:val="21"/>
        </w:rPr>
        <w:t xml:space="preserve">4. </w:t>
      </w:r>
      <w:hyperlink r:id="rId28">
        <w:r>
          <w:rPr>
            <w:rFonts w:ascii="Calibri" w:hAnsi="Calibri" w:eastAsia="맑은 고딕"/>
            <w:b w:val="0"/>
            <w:color w:val="1F5CA8"/>
            <w:sz w:val="21"/>
            <w:u w:val="single"/>
          </w:rPr>
          <w:t>[Deep Learning] Signal-to-Noise Ratio (SNR, 신호 대 잡음비)</w:t>
        </w:r>
      </w:hyperlink>
    </w:p>
    <w:p>
      <w:pPr>
        <w:ind w:left="510" w:hanging="510"/>
        <w:jc w:val="both"/>
      </w:pPr>
      <w:r>
        <w:rPr>
          <w:rFonts w:ascii="Calibri" w:hAnsi="Calibri" w:eastAsia="맑은 고딕"/>
          <w:b w:val="0"/>
          <w:color w:val="333333"/>
          <w:sz w:val="21"/>
        </w:rPr>
        <w:t xml:space="preserve">5. </w:t>
      </w:r>
      <w:hyperlink r:id="rId29">
        <w:r>
          <w:rPr>
            <w:rFonts w:ascii="Calibri" w:hAnsi="Calibri" w:eastAsia="맑은 고딕"/>
            <w:b w:val="0"/>
            <w:color w:val="1F5CA8"/>
            <w:sz w:val="21"/>
            <w:u w:val="single"/>
          </w:rPr>
          <w:t>글로벌 Aoi 기술 시장 규모, 점유율, 동향 및 산업 예측(2026-2034년)</w:t>
        </w:r>
      </w:hyperlink>
    </w:p>
    <w:p>
      <w:pPr>
        <w:ind w:left="510" w:hanging="510"/>
        <w:jc w:val="both"/>
      </w:pPr>
      <w:r>
        <w:rPr>
          <w:rFonts w:ascii="Calibri" w:hAnsi="Calibri" w:eastAsia="맑은 고딕"/>
          <w:b w:val="0"/>
          <w:color w:val="333333"/>
          <w:sz w:val="21"/>
        </w:rPr>
        <w:t xml:space="preserve">6. </w:t>
      </w:r>
      <w:hyperlink r:id="rId30">
        <w:r>
          <w:rPr>
            <w:rFonts w:ascii="Calibri" w:hAnsi="Calibri" w:eastAsia="맑은 고딕"/>
            <w:b w:val="0"/>
            <w:color w:val="1F5CA8"/>
            <w:sz w:val="21"/>
            <w:u w:val="single"/>
          </w:rPr>
          <w:t>자동 광학 검사 (Aoi) 시장 규모, 점유율, 성장률, 2034년</w:t>
        </w:r>
      </w:hyperlink>
    </w:p>
    <w:p>
      <w:pPr>
        <w:ind w:left="510" w:hanging="510"/>
        <w:jc w:val="both"/>
      </w:pPr>
      <w:r>
        <w:rPr>
          <w:rFonts w:ascii="Calibri" w:hAnsi="Calibri" w:eastAsia="맑은 고딕"/>
          <w:b w:val="0"/>
          <w:color w:val="333333"/>
          <w:sz w:val="21"/>
        </w:rPr>
        <w:t xml:space="preserve">7. </w:t>
      </w:r>
      <w:hyperlink r:id="rId31">
        <w:r>
          <w:rPr>
            <w:rFonts w:ascii="Calibri" w:hAnsi="Calibri" w:eastAsia="맑은 고딕"/>
            <w:b w:val="0"/>
            <w:color w:val="1F5CA8"/>
            <w:sz w:val="21"/>
            <w:u w:val="single"/>
          </w:rPr>
          <w:t>3D 자동 광학 검사 (Aoi) 시장 규모, 성장 보고서, 2035년</w:t>
        </w:r>
      </w:hyperlink>
    </w:p>
    <w:p>
      <w:pPr>
        <w:ind w:left="510" w:hanging="510"/>
        <w:jc w:val="both"/>
      </w:pPr>
      <w:r>
        <w:rPr>
          <w:rFonts w:ascii="Calibri" w:hAnsi="Calibri" w:eastAsia="맑은 고딕"/>
          <w:b w:val="0"/>
          <w:color w:val="333333"/>
          <w:sz w:val="21"/>
        </w:rPr>
        <w:t xml:space="preserve">8. </w:t>
      </w:r>
      <w:hyperlink r:id="rId32">
        <w:r>
          <w:rPr>
            <w:rFonts w:ascii="Calibri" w:hAnsi="Calibri" w:eastAsia="맑은 고딕"/>
            <w:b w:val="0"/>
            <w:color w:val="1F5CA8"/>
            <w:sz w:val="21"/>
            <w:u w:val="single"/>
          </w:rPr>
          <w:t>3d 자동 광학 검사 (Aoi) 시장 규모, 점유율, 성장 및 산업 분석 ...</w:t>
        </w:r>
      </w:hyperlink>
    </w:p>
    <w:p>
      <w:pPr>
        <w:ind w:left="510" w:hanging="510"/>
        <w:jc w:val="both"/>
      </w:pPr>
      <w:r>
        <w:rPr>
          <w:rFonts w:ascii="Calibri" w:hAnsi="Calibri" w:eastAsia="맑은 고딕"/>
          <w:b w:val="0"/>
          <w:color w:val="333333"/>
          <w:sz w:val="21"/>
        </w:rPr>
        <w:t xml:space="preserve">9. </w:t>
      </w:r>
      <w:hyperlink r:id="rId33">
        <w:r>
          <w:rPr>
            <w:rFonts w:ascii="Calibri" w:hAnsi="Calibri" w:eastAsia="맑은 고딕"/>
            <w:b w:val="0"/>
            <w:color w:val="1F5CA8"/>
            <w:sz w:val="21"/>
            <w:u w:val="single"/>
          </w:rPr>
          <w:t>Automated Optical Inspection Equipment Market Size 2031</w:t>
        </w:r>
      </w:hyperlink>
    </w:p>
    <w:p>
      <w:pPr>
        <w:ind w:left="510" w:hanging="510"/>
        <w:jc w:val="both"/>
      </w:pPr>
      <w:r>
        <w:rPr>
          <w:rFonts w:ascii="Calibri" w:hAnsi="Calibri" w:eastAsia="맑은 고딕"/>
          <w:b w:val="0"/>
          <w:color w:val="333333"/>
          <w:sz w:val="21"/>
        </w:rPr>
        <w:t xml:space="preserve">10. </w:t>
      </w:r>
      <w:hyperlink r:id="rId34">
        <w:r>
          <w:rPr>
            <w:rFonts w:ascii="Calibri" w:hAnsi="Calibri" w:eastAsia="맑은 고딕"/>
            <w:b w:val="0"/>
            <w:color w:val="1F5CA8"/>
            <w:sz w:val="21"/>
            <w:u w:val="single"/>
          </w:rPr>
          <w:t>AOI Technology Market 2025</w:t>
        </w:r>
      </w:hyperlink>
    </w:p>
    <w:p>
      <w:pPr>
        <w:ind w:left="510" w:hanging="510"/>
        <w:jc w:val="both"/>
      </w:pPr>
      <w:r>
        <w:rPr>
          <w:rFonts w:ascii="Calibri" w:hAnsi="Calibri" w:eastAsia="맑은 고딕"/>
          <w:b w:val="0"/>
          <w:color w:val="333333"/>
          <w:sz w:val="21"/>
        </w:rPr>
        <w:t xml:space="preserve">11. </w:t>
      </w:r>
      <w:hyperlink r:id="rId35">
        <w:r>
          <w:rPr>
            <w:rFonts w:ascii="Calibri" w:hAnsi="Calibri" w:eastAsia="맑은 고딕"/>
            <w:b w:val="0"/>
            <w:color w:val="1F5CA8"/>
            <w:sz w:val="21"/>
            <w:u w:val="single"/>
          </w:rPr>
          <w:t>Automated Optical Inspection (AOI) Market Size, Growth and Analysis Report - 2033</w:t>
        </w:r>
      </w:hyperlink>
    </w:p>
    <w:p>
      <w:pPr>
        <w:ind w:left="510" w:hanging="510"/>
        <w:jc w:val="both"/>
      </w:pPr>
      <w:r>
        <w:rPr>
          <w:rFonts w:ascii="Calibri" w:hAnsi="Calibri" w:eastAsia="맑은 고딕"/>
          <w:b w:val="0"/>
          <w:color w:val="333333"/>
          <w:sz w:val="21"/>
        </w:rPr>
        <w:t xml:space="preserve">12. </w:t>
      </w:r>
      <w:hyperlink r:id="rId36">
        <w:r>
          <w:rPr>
            <w:rFonts w:ascii="Calibri" w:hAnsi="Calibri" w:eastAsia="맑은 고딕"/>
            <w:b w:val="0"/>
            <w:color w:val="1F5CA8"/>
            <w:sz w:val="21"/>
            <w:u w:val="single"/>
          </w:rPr>
          <w:t>Automated Optical Inspection (AOI) Equipment Market Predictions: Growth and Size ...</w:t>
        </w:r>
      </w:hyperlink>
    </w:p>
    <w:p>
      <w:pPr>
        <w:ind w:left="510" w:hanging="510"/>
        <w:jc w:val="both"/>
      </w:pPr>
      <w:r>
        <w:rPr>
          <w:rFonts w:ascii="Calibri" w:hAnsi="Calibri" w:eastAsia="맑은 고딕"/>
          <w:b w:val="0"/>
          <w:color w:val="333333"/>
          <w:sz w:val="21"/>
        </w:rPr>
        <w:t>13. 보고서_삼성전자HBM4전환에따른검사기술동향및대응전략20260509001.pdf (사내 자료)</w:t>
      </w:r>
    </w:p>
    <w:p>
      <w:pPr>
        <w:ind w:left="510" w:hanging="510"/>
        <w:jc w:val="both"/>
      </w:pPr>
      <w:r>
        <w:rPr>
          <w:rFonts w:ascii="Calibri" w:hAnsi="Calibri" w:eastAsia="맑은 고딕"/>
          <w:b w:val="0"/>
          <w:color w:val="333333"/>
          <w:sz w:val="21"/>
        </w:rPr>
        <w:t>14. 매뉴얼HBMAdvancedInspectionSyst20260509001.pdf (사내 자료)</w:t>
      </w:r>
    </w:p>
    <w:p>
      <w:pPr>
        <w:ind w:left="510" w:hanging="510"/>
        <w:jc w:val="both"/>
      </w:pPr>
      <w:r>
        <w:rPr>
          <w:rFonts w:ascii="Calibri" w:hAnsi="Calibri" w:eastAsia="맑은 고딕"/>
          <w:b w:val="0"/>
          <w:color w:val="333333"/>
          <w:sz w:val="21"/>
        </w:rPr>
        <w:t>15. 분석HBM4세대전환에따른크레셈CRESSEM의검사장20260509001.pdf (사내 자료)</w:t>
      </w:r>
    </w:p>
    <w:p>
      <w:pPr>
        <w:ind w:left="510" w:hanging="510"/>
        <w:jc w:val="both"/>
      </w:pPr>
      <w:r>
        <w:rPr>
          <w:rFonts w:ascii="Calibri" w:hAnsi="Calibri" w:eastAsia="맑은 고딕"/>
          <w:b w:val="0"/>
          <w:color w:val="333333"/>
          <w:sz w:val="21"/>
        </w:rPr>
        <w:t>16. 보고서SK하이닉스HBM3E양산동향및기술경쟁력분석20260509001.pdf (사내 자료)</w:t>
      </w:r>
    </w:p>
    <w:p>
      <w:pPr>
        <w:ind w:left="510" w:hanging="510"/>
        <w:jc w:val="both"/>
      </w:pPr>
      <w:r>
        <w:rPr>
          <w:rFonts w:ascii="Calibri" w:hAnsi="Calibri" w:eastAsia="맑은 고딕"/>
          <w:b w:val="0"/>
          <w:color w:val="333333"/>
          <w:sz w:val="21"/>
        </w:rPr>
        <w:t>17. 분석_크레셈CRESSEM20260509001.pdf (사내 자료)</w:t>
      </w:r>
    </w:p>
    <w:p>
      <w:pPr>
        <w:ind w:left="510" w:hanging="510"/>
        <w:jc w:val="both"/>
      </w:pPr>
      <w:r>
        <w:rPr>
          <w:rFonts w:ascii="Calibri" w:hAnsi="Calibri" w:eastAsia="맑은 고딕"/>
          <w:b w:val="0"/>
          <w:color w:val="333333"/>
          <w:sz w:val="21"/>
        </w:rPr>
        <w:t>18. pdf_인하대학교컴퓨터공학과의배승환20260509001.pdf (사내 자료)</w:t>
      </w:r>
    </w:p>
    <w:p>
      <w:pPr>
        <w:ind w:left="510" w:hanging="510"/>
        <w:jc w:val="both"/>
      </w:pPr>
      <w:r>
        <w:rPr>
          <w:rFonts w:ascii="Calibri" w:hAnsi="Calibri" w:eastAsia="맑은 고딕"/>
          <w:b w:val="0"/>
          <w:color w:val="333333"/>
          <w:sz w:val="21"/>
        </w:rPr>
        <w:t>19. ProfessorSeungHwanBaeReport.pdf (사내 자료)</w:t>
      </w:r>
    </w:p>
    <w:p>
      <w:pPr>
        <w:ind w:left="510" w:hanging="510"/>
        <w:jc w:val="both"/>
      </w:pPr>
      <w:r>
        <w:rPr>
          <w:rFonts w:ascii="Calibri" w:hAnsi="Calibri" w:eastAsia="맑은 고딕"/>
          <w:b w:val="0"/>
          <w:color w:val="333333"/>
          <w:sz w:val="21"/>
        </w:rPr>
        <w:t>20. pdf1서론HBM시장의패러다임변화20260508001.pdf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AOI 검사 시스템의 SNR 기반 검출 성능 분석 및 시장 전망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hyperlink" Target="https://elc-coco.tistory.com/51" TargetMode="External"/><Relationship Id="rId26" Type="http://schemas.openxmlformats.org/officeDocument/2006/relationships/hyperlink" Target="https://www.processon.io/ko/latex" TargetMode="External"/><Relationship Id="rId27" Type="http://schemas.openxmlformats.org/officeDocument/2006/relationships/hyperlink" Target="https://www.youngju.dev/blog/ai-papers/2026-03-08-math-latex-katex-guide-for-ml-papers" TargetMode="External"/><Relationship Id="rId28" Type="http://schemas.openxmlformats.org/officeDocument/2006/relationships/hyperlink" Target="https://je0nsye0n.tistory.com/70" TargetMode="External"/><Relationship Id="rId29" Type="http://schemas.openxmlformats.org/officeDocument/2006/relationships/hyperlink" Target="https://www.verifiedmarketreports.com/ko/product/aoi-technology-market/" TargetMode="External"/><Relationship Id="rId30" Type="http://schemas.openxmlformats.org/officeDocument/2006/relationships/hyperlink" Target="https://straitsresearch.com/ko/report/automated-optical-inspection-market" TargetMode="External"/><Relationship Id="rId31" Type="http://schemas.openxmlformats.org/officeDocument/2006/relationships/hyperlink" Target="https://www.businessresearchinsights.com/ko/market-reports/3d-automated-optical-inspection-aoi-market-108678" TargetMode="External"/><Relationship Id="rId32" Type="http://schemas.openxmlformats.org/officeDocument/2006/relationships/hyperlink" Target="https://www.marketgrowthreports.com/ko/market-reports/3d-automated-optical-inspection-aoi-market-116105" TargetMode="External"/><Relationship Id="rId33" Type="http://schemas.openxmlformats.org/officeDocument/2006/relationships/hyperlink" Target="https://www.mordorintelligence.com/industry-reports/automated-optical-inspection-equipment-market" TargetMode="External"/><Relationship Id="rId34" Type="http://schemas.openxmlformats.org/officeDocument/2006/relationships/hyperlink" Target="https://semiconductorinsight.com/report/aoi-technology-market/" TargetMode="External"/><Relationship Id="rId35" Type="http://schemas.openxmlformats.org/officeDocument/2006/relationships/hyperlink" Target="https://datahorizzonresearch.com/automated-optical-inspection-aoi-market-16396" TargetMode="External"/><Relationship Id="rId36" Type="http://schemas.openxmlformats.org/officeDocument/2006/relationships/hyperlink" Target="https://www.datainsightsmarket.com/reports/automated-optical-inspection-aoi-equipment-2329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