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광학 검사 파이프라인 및 주요 성능 지표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2026-08-01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개요/배경</w:t>
      </w:r>
    </w:p>
    <w:p>
      <w:pPr>
        <w:pStyle w:val="TOC2"/>
        <w:spacing w:after="60"/>
        <w:ind w:left="240"/>
      </w:pPr>
      <w:r>
        <w:rPr>
          <w:rFonts w:ascii="Calibri" w:hAnsi="Calibri" w:eastAsia="맑은 고딕"/>
          <w:color w:val="333333"/>
          <w:sz w:val="20"/>
        </w:rPr>
        <w:t xml:space="preserve">광학 검사 핵심 성능 지표(KPI) 분석</w:t>
      </w:r>
    </w:p>
    <w:p>
      <w:pPr>
        <w:pStyle w:val="TOC3"/>
        <w:spacing w:after="60"/>
        <w:ind w:left="560"/>
      </w:pPr>
      <w:r>
        <w:rPr>
          <w:rFonts w:ascii="Calibri" w:hAnsi="Calibri" w:eastAsia="맑은 고딕"/>
          <w:color w:val="333333"/>
          <w:sz w:val="18"/>
        </w:rPr>
        <w:t xml:space="preserve">1. 해상도 (Resolution): 광학계의 분해능과 한계</w:t>
      </w:r>
    </w:p>
    <w:p>
      <w:pPr>
        <w:pStyle w:val="TOC3"/>
        <w:spacing w:after="60"/>
        <w:ind w:left="560"/>
      </w:pPr>
      <w:r>
        <w:rPr>
          <w:rFonts w:ascii="Calibri" w:hAnsi="Calibri" w:eastAsia="맑은 고딕"/>
          <w:color w:val="333333"/>
          <w:sz w:val="18"/>
        </w:rPr>
        <w:t xml:space="preserve">2. 검출 한계 (Detection Limit): 결함 식별의 정량적 기준</w:t>
      </w:r>
    </w:p>
    <w:p>
      <w:pPr>
        <w:pStyle w:val="TOC3"/>
        <w:spacing w:after="60"/>
        <w:ind w:left="560"/>
      </w:pPr>
      <w:r>
        <w:rPr>
          <w:rFonts w:ascii="Calibri" w:hAnsi="Calibri" w:eastAsia="맑은 고딕"/>
          <w:color w:val="333333"/>
          <w:sz w:val="18"/>
        </w:rPr>
        <w:t xml:space="preserve">3. 유효 반경 (Effective Radius): 측정 영역 및 검사 효율성</w:t>
      </w:r>
    </w:p>
    <w:p>
      <w:pPr>
        <w:pStyle w:val="TOC2"/>
        <w:spacing w:after="60"/>
        <w:ind w:left="240"/>
      </w:pPr>
      <w:r>
        <w:rPr>
          <w:rFonts w:ascii="Calibri" w:hAnsi="Calibri" w:eastAsia="맑은 고딕"/>
          <w:color w:val="333333"/>
          <w:sz w:val="20"/>
        </w:rPr>
        <w:t xml:space="preserve">성능 지표별 정량적 데이터 분석</w:t>
      </w:r>
    </w:p>
    <w:p>
      <w:pPr>
        <w:pStyle w:val="TOC3"/>
        <w:spacing w:after="60"/>
        <w:ind w:left="560"/>
      </w:pPr>
      <w:r>
        <w:rPr>
          <w:rFonts w:ascii="Calibri" w:hAnsi="Calibri" w:eastAsia="맑은 고딕"/>
          <w:color w:val="333333"/>
          <w:sz w:val="18"/>
        </w:rPr>
        <w:t xml:space="preserve">1. 물리적 측정 정밀도와 경제적 비용의 상관관계 분석</w:t>
      </w:r>
    </w:p>
    <w:p>
      <w:pPr>
        <w:pStyle w:val="TOC3"/>
        <w:spacing w:after="60"/>
        <w:ind w:left="560"/>
      </w:pPr>
      <w:r>
        <w:rPr>
          <w:rFonts w:ascii="Calibri" w:hAnsi="Calibri" w:eastAsia="맑은 고딕"/>
          <w:color w:val="333333"/>
          <w:sz w:val="18"/>
        </w:rPr>
        <w:t xml:space="preserve">2. 공정 규격 준수 및 신호 무결성 분석</w:t>
      </w:r>
    </w:p>
    <w:p>
      <w:pPr>
        <w:pStyle w:val="TOC3"/>
        <w:spacing w:after="60"/>
        <w:ind w:left="560"/>
      </w:pPr>
      <w:r>
        <w:rPr>
          <w:rFonts w:ascii="Calibri" w:hAnsi="Calibri" w:eastAsia="맑은 고딕"/>
          <w:color w:val="333333"/>
          <w:sz w:val="18"/>
        </w:rPr>
        <w:t xml:space="preserve">3. 데이터 종합 비교 및 운영 효율성 검토</w:t>
      </w:r>
    </w:p>
    <w:p>
      <w:pPr>
        <w:pStyle w:val="TOC2"/>
        <w:spacing w:after="60"/>
        <w:ind w:left="240"/>
      </w:pPr>
      <w:r>
        <w:rPr>
          <w:rFonts w:ascii="Calibri" w:hAnsi="Calibri" w:eastAsia="맑은 고딕"/>
          <w:color w:val="333333"/>
          <w:sz w:val="20"/>
        </w:rPr>
        <w:t xml:space="preserve">검사 공정 비용 및 자원 효율성</w:t>
      </w:r>
    </w:p>
    <w:p>
      <w:pPr>
        <w:pStyle w:val="TOC3"/>
        <w:spacing w:after="60"/>
        <w:ind w:left="560"/>
      </w:pPr>
      <w:r>
        <w:rPr>
          <w:rFonts w:ascii="Calibri" w:hAnsi="Calibri" w:eastAsia="맑은 고딕"/>
          <w:color w:val="333333"/>
          <w:sz w:val="18"/>
        </w:rPr>
        <w:t xml:space="preserve">1. 항목별 단가 기반 경제성 분석</w:t>
      </w:r>
    </w:p>
    <w:p>
      <w:pPr>
        <w:pStyle w:val="TOC3"/>
        <w:spacing w:after="60"/>
        <w:ind w:left="560"/>
      </w:pPr>
      <w:r>
        <w:rPr>
          <w:rFonts w:ascii="Calibri" w:hAnsi="Calibri" w:eastAsia="맑은 고딕"/>
          <w:color w:val="333333"/>
          <w:sz w:val="18"/>
        </w:rPr>
        <w:t xml:space="preserve">2. 자원 효율성 및 운영 전략 (Resource Allocation)</w:t>
      </w:r>
    </w:p>
    <w:p>
      <w:pPr>
        <w:pStyle w:val="TOC3"/>
        <w:spacing w:after="60"/>
        <w:ind w:left="560"/>
      </w:pPr>
      <w:r>
        <w:rPr>
          <w:rFonts w:ascii="Calibri" w:hAnsi="Calibri" w:eastAsia="맑은 고딕"/>
          <w:color w:val="333333"/>
          <w:sz w:val="18"/>
        </w:rPr>
        <w:t xml:space="preserve">3. 종합 평가 및 시사점</w:t>
      </w:r>
    </w:p>
    <w:p>
      <w:pPr>
        <w:pStyle w:val="TOC2"/>
        <w:spacing w:after="60"/>
        <w:ind w:left="240"/>
      </w:pPr>
      <w:r>
        <w:rPr>
          <w:rFonts w:ascii="Calibri" w:hAnsi="Calibri" w:eastAsia="맑은 고딕"/>
          <w:color w:val="333333"/>
          <w:sz w:val="20"/>
        </w:rPr>
        <w:t xml:space="preserve">소프트웨어 및 알고리즘 연동 체계</w:t>
      </w:r>
    </w:p>
    <w:p>
      <w:pPr>
        <w:pStyle w:val="TOC3"/>
        <w:spacing w:after="60"/>
        <w:ind w:left="560"/>
      </w:pPr>
      <w:r>
        <w:rPr>
          <w:rFonts w:ascii="Calibri" w:hAnsi="Calibri" w:eastAsia="맑은 고딕"/>
          <w:color w:val="333333"/>
          <w:sz w:val="18"/>
        </w:rPr>
        <w:t xml:space="preserve">1. 알고리즘 기반의 데이터 처리 및 파이프라인 구조</w:t>
      </w:r>
    </w:p>
    <w:p>
      <w:pPr>
        <w:pStyle w:val="TOC3"/>
        <w:spacing w:after="60"/>
        <w:ind w:left="560"/>
      </w:pPr>
      <w:r>
        <w:rPr>
          <w:rFonts w:ascii="Calibri" w:hAnsi="Calibri" w:eastAsia="맑은 고딕"/>
          <w:color w:val="333333"/>
          <w:sz w:val="18"/>
        </w:rPr>
        <w:t xml:space="preserve">2. 실행 코드(Pipeline Code)와 알고리즘의 통합 모델</w:t>
      </w:r>
    </w:p>
    <w:p>
      <w:pPr>
        <w:pStyle w:val="TOC3"/>
        <w:spacing w:after="60"/>
        <w:ind w:left="560"/>
      </w:pPr>
      <w:r>
        <w:rPr>
          <w:rFonts w:ascii="Calibri" w:hAnsi="Calibri" w:eastAsia="맑은 고딕"/>
          <w:color w:val="333333"/>
          <w:sz w:val="18"/>
        </w:rPr>
        <w:t xml:space="preserve">3. 파이프라인 통합 워크플로우</w:t>
      </w:r>
    </w:p>
    <w:p>
      <w:pPr>
        <w:pStyle w:val="TOC2"/>
        <w:spacing w:after="60"/>
        <w:ind w:left="240"/>
      </w:pPr>
      <w:r>
        <w:rPr>
          <w:rFonts w:ascii="Calibri" w:hAnsi="Calibri" w:eastAsia="맑은 고딕"/>
          <w:color w:val="333333"/>
          <w:sz w:val="20"/>
        </w:rPr>
        <w:t xml:space="preserve">결론/시사점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광학 검사 파이프라인 및 주요 성능 지표 분석 보고서</w:t>
      </w:r>
    </w:p>
    <w:p>
      <w:pPr>
        <w:jc w:val="both"/>
      </w:pPr>
      <w:r>
        <w:rPr>
          <w:rFonts w:ascii="Calibri" w:hAnsi="Calibri" w:eastAsia="맑은 고딕"/>
          <w:b w:val="0"/>
          <w:color w:val="333333"/>
          <w:sz w:val="21"/>
        </w:rPr>
        <w:t>본 보고서는 광학 검사 시스템의 핵심 성능 지표(Resolution, Detection Limit 등)와 수식 모델, 그리고 관련 비용 및 실행 코드를 체계적으로 분석합니다. 정밀 검사 공정의 효율성을 극대화하기 위한 데이터 기반의 기술적 근거를 제시합니다.</w:t>
      </w:r>
    </w:p>
    <w:p>
      <w:pPr>
        <w:pStyle w:val="Heading2"/>
      </w:pPr>
      <w:r/>
      <w:r>
        <w:rPr>
          <w:rFonts w:ascii="Calibri" w:hAnsi="Calibri" w:eastAsia="맑은 고딕"/>
          <w:b/>
          <w:color w:val="333333"/>
          <w:sz w:val="24"/>
        </w:rPr>
        <w:t>개요/배경</w:t>
      </w:r>
    </w:p>
    <w:p>
      <w:pPr>
        <w:jc w:val="both"/>
      </w:pPr>
      <w:r>
        <w:rPr>
          <w:rFonts w:ascii="Calibri" w:hAnsi="Calibri" w:eastAsia="맑은 고딕"/>
          <w:b w:val="0"/>
          <w:color w:val="333333"/>
          <w:sz w:val="21"/>
        </w:rPr>
        <w:t>반도체 산업이 미세 공정의 한계를 극복하기 위해 전공정(Front-end)의 미세화에서 후공정(Back-end)의 고도화, 즉 어드밴스드 패키징(Advanced Packaging) 기술로 패러다임을 전환함에 따라, 검사 공정의 역할 또한 단순한 불량 판별을 넘어 제품의 수율(Yield)과 신뢰성을 결정짓는 핵심 공정으로 격상되었습니다. 특히 HBM(High Bandwidth Memory), 2.5D/3D 적층 구조, FC-BGA(Flip Chip Ball Grid Array)와 같은 고집적 패키징 기술이 도입되면서, 육안이나 기존의 단순 Rule-based 방식으로는 검출할 수 없는 초미세 결함(Micro Defect)이 급증하고 있습니다. 이러한 기술적 난제를 해결하기 위해서는 고정밀 광학 검사(Optical Inspection) 시스템의 구축이 필수적이며, 이를 뒷받침하는 정교한 검사 파이프라인(Inspection Pipeline)의 설계가 요구됩니다.</w:t>
      </w:r>
    </w:p>
    <w:p>
      <w:pPr>
        <w:jc w:val="both"/>
      </w:pPr>
      <w:r>
        <w:rPr>
          <w:rFonts w:ascii="Calibri" w:hAnsi="Calibri" w:eastAsia="맑은 고딕"/>
          <w:b w:val="0"/>
          <w:color w:val="333333"/>
          <w:sz w:val="21"/>
        </w:rPr>
        <w:t>광학 검사 파이프라인은 광원(Light Source)의 조사부터 시작하여 고해상도 이미지 센서를 통한 데이터 획득(Acquisition), 이미지 프로세싱(Image Processing), 그리고 최종적인 결함 분류(Defect Classification)에 이르는 일련의 연속적인 프로세스를 의미합니다. 이 과정에서 각 단계는 물리적·광학적 한계치에 직면하게 되며, 검사 장비의 성능을 결정짓는 핵심 성능 지표(KPI, Key Performance Indicator)들이 결정됩니다. 본 보고서에서 다루는 해상도(Resolution), 검출 한계(Detection Limit), 유효 반경(Effective Radius), 선폭(Line Width) 및 신호비(Signal-to-Noise Ratio 관련 지표) 등은 단순한 물리적 수치를 넘어, 검사 장비가 실제 양산 라인에서 어느 정도의 정밀도로 결함을 잡아낼 수 있는지, 그리고 그 과정에서 발생하는 데이터의 신뢰도가 어느 수준인지를 나타내는 척도가 됩니다.</w:t>
      </w:r>
    </w:p>
    <w:p>
      <w:pPr>
        <w:jc w:val="both"/>
      </w:pPr>
      <w:r>
        <w:rPr>
          <w:rFonts w:ascii="Calibri" w:hAnsi="Calibri" w:eastAsia="맑은 고딕"/>
          <w:b w:val="0"/>
          <w:color w:val="333333"/>
          <w:sz w:val="21"/>
        </w:rPr>
        <w:t>본 분석의 목적은 크게 세 가지 측면으로 정의됩니다.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광학 검사의 물리적 정밀도 및 수식적 정의의 명확화</w:t>
      </w:r>
      <w:r>
        <w:rPr>
          <w:rFonts w:ascii="Calibri" w:hAnsi="Calibri" w:eastAsia="맑은 고딕"/>
          <w:b w:val="0"/>
          <w:color w:val="333333"/>
          <w:sz w:val="21"/>
        </w:rPr>
        <w:t>입니다. 검사 장비의 성능을 결정하는 주요 지표들을 수식적으로 재정의함으로써, 광학계의 설계 파라미터(예: 개구수(NA), 파장(λ) 등)가 실제 검사 결과값에 미치는 영향을 정량적으로 파악하고자 합니다. 이는 장비 개발 단계에서 목표로 하는 검출 성능을 달성하기 위한 이론적 근거를 제공합니다.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검사 파이프라인의 경제성 및 운영 효율성 검토</w:t>
      </w:r>
      <w:r>
        <w:rPr>
          <w:rFonts w:ascii="Calibri" w:hAnsi="Calibri" w:eastAsia="맑은 고딕"/>
          <w:b w:val="0"/>
          <w:color w:val="333333"/>
          <w:sz w:val="21"/>
        </w:rPr>
        <w:t>입니다. 고정밀 검사를 위해 투입되는 각 성능 지표별 단가(Unit Cost)와 이를 산출하기 위한 알고리즘 실행 코드(Pipeline Code) 간의 상관관계를 분석합니다. 이는 단순히 '가장 정밀한 장비'를 만드는 것을 넘어, 고객사의 양산 목표 수율과 Tact Time(생산 주기)을 충족하면서도 최적의 비용 효율성을 달성할 수 있는 '경제적인 검사 솔루션'을 제안하기 위함입니다.</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AI 기반 차세대 검사 시스템으로의 고도화 방향 제시</w:t>
      </w:r>
      <w:r>
        <w:rPr>
          <w:rFonts w:ascii="Calibri" w:hAnsi="Calibri" w:eastAsia="맑은 고딕"/>
          <w:b w:val="0"/>
          <w:color w:val="333333"/>
          <w:sz w:val="21"/>
        </w:rPr>
        <w:t>입니다. 기존의 물리적 지표 중심 검사에서 나아가, 수집된 검사 데이터를 분석하여 공정상의 불량 원인을 역추적(Root Cause Analysis)할 수 있는 데이터 분석 솔루션과의 연동 체계를 검토합니다. 이를 통해 크레셈(CRESSEM)이 지향하는 '단순 불량 검출'을 넘어선 '지능형 스마트 팩토리 구현'을 위한 기술적 로드맵을 수립하는 데 기초 자료로 활용하고자 합니다.</w:t>
      </w:r>
    </w:p>
    <w:p>
      <w:pPr>
        <w:jc w:val="both"/>
      </w:pPr>
      <w:r>
        <w:rPr>
          <w:rFonts w:ascii="Calibri" w:hAnsi="Calibri" w:eastAsia="맑은 고딕"/>
          <w:b w:val="0"/>
          <w:color w:val="333333"/>
          <w:sz w:val="21"/>
        </w:rPr>
        <w:t>결과적으로 본 보고서는 광학 검사 파이프라인의 각 구성 요소가 갖는 물리적 의미와 수치적 데이터를 통합적으로 분석함으로써, 차세대 HBM 및 고밀도 기판 검사 시장에서 경쟁 우위를 점할 수 있는 기술적·경제적 가이드라인을 제공하는 데 그 의의가 있습니다.</w:t>
      </w:r>
    </w:p>
    <w:p>
      <w:pPr>
        <w:pStyle w:val="Heading2"/>
      </w:pPr>
      <w:r/>
      <w:r>
        <w:rPr>
          <w:rFonts w:ascii="Calibri" w:hAnsi="Calibri" w:eastAsia="맑은 고딕"/>
          <w:b/>
          <w:color w:val="333333"/>
          <w:sz w:val="24"/>
        </w:rPr>
        <w:t>광학 검사 핵심 성능 지표(KPI) 분석</w:t>
      </w:r>
    </w:p>
    <w:p>
      <w:pPr>
        <w:jc w:val="both"/>
      </w:pPr>
      <w:r>
        <w:rPr>
          <w:rFonts w:ascii="Calibri" w:hAnsi="Calibri" w:eastAsia="맑은 고딕"/>
          <w:b w:val="0"/>
          <w:color w:val="333333"/>
          <w:sz w:val="21"/>
        </w:rPr>
        <w:t>반도체 패키징 공정이 HBM(High Bandwidth Memory) 및 2.5D/3D 적층 구조로 고도화됨에 따라, 검사 장비가 확보해야 하는 물리적 정밀도의 요구 수준은 기하급수적으로 상승하고 있습니다. 광학 검사 시스템의 성능을 결정짓는 핵심 성능 지표(Key Performance Indicators, KPI)는 단순히 장비의 스펙을 나열하는 것을 넘어, 실제 공정에서 결함을 얼마나 정확하게 식별하고(Detection), 어느 정도의 정밀도로 측정할 수 있는지(Metrology)를 정의하는 기술적 근거가 됩니다. 본 섹션에서는 광학 검사 파이프라인의 근간이 되는 해상도(Resolution), 검출 한계(Detection Limit), 유효 반경(Effective Radius) 등 주요 물리적 지표의 수식적 정의와 공정 기술적 의미를 심층 분석합니다.</w:t>
      </w:r>
    </w:p>
    <w:p>
      <w:pPr>
        <w:pStyle w:val="Heading3"/>
      </w:pPr>
      <w:r/>
      <w:r>
        <w:rPr>
          <w:rFonts w:ascii="Calibri" w:hAnsi="Calibri" w:eastAsia="맑은 고딕"/>
          <w:b/>
          <w:color w:val="888888"/>
          <w:sz w:val="21"/>
        </w:rPr>
        <w:t>1. 해상도 (Resolution): 광학계의 분해능과 한계</w:t>
      </w:r>
    </w:p>
    <w:p>
      <w:pPr>
        <w:jc w:val="both"/>
      </w:pPr>
      <w:r>
        <w:rPr>
          <w:rFonts w:ascii="Calibri" w:hAnsi="Calibri" w:eastAsia="맑은 고딕"/>
          <w:b w:val="0"/>
          <w:color w:val="333333"/>
          <w:sz w:val="21"/>
        </w:rPr>
        <w:t>해상도는 광학 시스템이 인접한 두 점을 별개의 물체로 구분할 수 있는 최소 능력을 의미합니다. 반도체 검사에서는 미세한 Bump나 TSV(Through Silicon Via)의 단면을 구분하기 위해 극도로 높은 해상도가 요구됩니다.</w:t>
      </w:r>
    </w:p>
    <w:p>
      <w:pPr>
        <w:jc w:val="both"/>
      </w:pPr>
      <w:r>
        <w:rPr>
          <w:rFonts w:ascii="Calibri" w:hAnsi="Calibri" w:eastAsia="맑은 고딕"/>
          <w:b/>
          <w:color w:val="333333"/>
          <w:sz w:val="21"/>
        </w:rPr>
        <w:t>1.1 수식적 정의 및 물리적 원리</w:t>
      </w:r>
    </w:p>
    <w:p>
      <w:pPr>
        <w:jc w:val="both"/>
      </w:pPr>
      <w:r>
        <w:rPr>
          <w:rFonts w:ascii="Calibri" w:hAnsi="Calibri" w:eastAsia="맑은 고딕"/>
          <w:b w:val="0"/>
          <w:color w:val="333333"/>
          <w:sz w:val="21"/>
        </w:rPr>
        <w:t>광학적 해상도는 일반적으로 레일리 기준(Rayleigh Criterion)에 의해 정의되며, 시스템의 수치 구경(Numerical Aperture, NA)과 사용되는 빛의 파장(λ)에 의해 결정됩니다.</w:t>
      </w:r>
    </w:p>
    <w:p>
      <w:pPr>
        <w:spacing w:before="120" w:after="120"/>
        <w:jc w:val="center"/>
      </w:pPr>
      <w:r>
        <w:drawing>
          <wp:inline xmlns:a="http://schemas.openxmlformats.org/drawingml/2006/main" xmlns:pic="http://schemas.openxmlformats.org/drawingml/2006/picture">
            <wp:extent cx="1321307" cy="324612"/>
            <wp:docPr id="2" name="Picture 2"/>
            <wp:cNvGraphicFramePr>
              <a:graphicFrameLocks noChangeAspect="1"/>
            </wp:cNvGraphicFramePr>
            <a:graphic>
              <a:graphicData uri="http://schemas.openxmlformats.org/drawingml/2006/picture">
                <pic:pic>
                  <pic:nvPicPr>
                    <pic:cNvPr id="0" name="tmpis_xk26o.png"/>
                    <pic:cNvPicPr/>
                  </pic:nvPicPr>
                  <pic:blipFill>
                    <a:blip r:embed="rId12"/>
                    <a:stretch>
                      <a:fillRect/>
                    </a:stretch>
                  </pic:blipFill>
                  <pic:spPr>
                    <a:xfrm>
                      <a:off x="0" y="0"/>
                      <a:ext cx="1321307" cy="324612"/>
                    </a:xfrm>
                    <a:prstGeom prst="rect"/>
                  </pic:spPr>
                </pic:pic>
              </a:graphicData>
            </a:graphic>
          </wp:inline>
        </w:drawing>
      </w:r>
    </w:p>
    <w:p>
      <w:pPr>
        <w:jc w:val="both"/>
      </w:pPr>
      <w:r>
        <w:rPr>
          <w:rFonts w:ascii="Calibri" w:hAnsi="Calibri" w:eastAsia="맑은 고딕"/>
          <w:b w:val="0"/>
          <w:color w:val="333333"/>
          <w:sz w:val="21"/>
        </w:rPr>
        <w:t>여기서 NA는 n · \sin(θ)로 정의되며, n은 매질의 굴절률, θ는 렌즈로 입사하는 빛의 최대 반각을 의미합니다. 위 수식에서 알 수 있듯이, 해상도를 높여(즉, 더 작은 값을 얻어) 미세 패턴을 관찰하기 위해서는 두 가지 전략이 필수적입니다. 첫째, 파장(λ)을 줄이는 것입니다. 이는 가시광선 영역에서 UV(자외선) 또는 DUV(심자외선) 광원을 사용하는 근거가 됩니다. 둘째, NA를 극대화하는 것입니다. 이는 고굴절률의 Immersion(액침) 렌즈를 사용하거나 대구경 렌즈를 설계함으로써 달성할 수 있습니다.</w:t>
      </w:r>
    </w:p>
    <w:p>
      <w:pPr>
        <w:jc w:val="both"/>
      </w:pPr>
      <w:r>
        <w:rPr>
          <w:rFonts w:ascii="Calibri" w:hAnsi="Calibri" w:eastAsia="맑은 고딕"/>
          <w:b/>
          <w:color w:val="333333"/>
          <w:sz w:val="21"/>
        </w:rPr>
        <w:t>1.2 반도체 검사에서의 기술적 함의</w:t>
      </w:r>
    </w:p>
    <w:p>
      <w:pPr>
        <w:jc w:val="both"/>
      </w:pPr>
      <w:r>
        <w:rPr>
          <w:rFonts w:ascii="Calibri" w:hAnsi="Calibri" w:eastAsia="맑은 고딕"/>
          <w:b w:val="0"/>
          <w:color w:val="333333"/>
          <w:sz w:val="21"/>
        </w:rPr>
        <w:t>HBM과 같은 고단 적층 구조에서는 Die-to-Die 정렬 검사 시 미세한 위치 오차(Misalignment)를 측정해야 합니다. 만약 해상도가 충분하지 않다면, 두 개의 인접한 Bump가 하나의 거대한 덩어리로 인식되는 '결합 현상(Merging)'이 발생하여, 실제로는 존재하는 단락(Short) 결함을 놓치는 치명적인 오류를 범할 수 있습니다. 따라서 검사 파이프라인 설계 시, 타겟으로 하는 패턴의 최소 선폭(Critical Dimension, CD)보다 최소 2~3배 이상의 해상도 마진을 확보하는 것이 엔지니어링의 핵심입니다.</w:t>
      </w:r>
    </w:p>
    <w:p>
      <w:pPr>
        <w:pStyle w:val="Heading3"/>
      </w:pPr>
      <w:r/>
      <w:r>
        <w:rPr>
          <w:rFonts w:ascii="Calibri" w:hAnsi="Calibri" w:eastAsia="맑은 고딕"/>
          <w:b/>
          <w:color w:val="888888"/>
          <w:sz w:val="21"/>
        </w:rPr>
        <w:t>2. 검출 한계 (Detection Limit): 결함 식별의 정량적 기준</w:t>
      </w:r>
    </w:p>
    <w:p>
      <w:pPr>
        <w:jc w:val="both"/>
      </w:pPr>
      <w:r>
        <w:rPr>
          <w:rFonts w:ascii="Calibri" w:hAnsi="Calibri" w:eastAsia="맑은 고딕"/>
          <w:b w:val="0"/>
          <w:color w:val="333333"/>
          <w:sz w:val="21"/>
        </w:rPr>
        <w:t>검출 한계는 시스템이 배경 노이즈(Background Noise)와 실제 결함(Defect)을 통계적으로 유의미하게 구분할 수 있는 최소한의 크기 또는 농도를 의미합니다. 이는 해상도와 밀접한 관련이 있지만, 광학적 분해능과는 별개로 신호 대 잡음비(Signal-to-Noise Ratio, SNR)에 의해 지배받는 개념입니다.</w:t>
      </w:r>
    </w:p>
    <w:p>
      <w:pPr>
        <w:jc w:val="both"/>
      </w:pPr>
      <w:r>
        <w:rPr>
          <w:rFonts w:ascii="Calibri" w:hAnsi="Calibri" w:eastAsia="맑은 고딕"/>
          <w:b/>
          <w:color w:val="333333"/>
          <w:sz w:val="21"/>
        </w:rPr>
        <w:t>2.1 수식적 정의 및 통계적 접근</w:t>
      </w:r>
    </w:p>
    <w:p>
      <w:pPr>
        <w:jc w:val="both"/>
      </w:pPr>
      <w:r>
        <w:rPr>
          <w:rFonts w:ascii="Calibri" w:hAnsi="Calibri" w:eastAsia="맑은 고딕"/>
          <w:b w:val="0"/>
          <w:color w:val="333333"/>
          <w:sz w:val="21"/>
        </w:rPr>
        <w:t>검출 한계는 일반적으로 결함에 의해 발생하는 신호의 강도(S)와 시스템의 노이즈 강도(N)의 비율인 SNR을 통해 정의됩니다.</w:t>
      </w:r>
    </w:p>
    <w:p>
      <w:pPr>
        <w:spacing w:before="120" w:after="120"/>
        <w:jc w:val="center"/>
      </w:pPr>
      <w:r>
        <w:drawing>
          <wp:inline xmlns:a="http://schemas.openxmlformats.org/drawingml/2006/main" xmlns:pic="http://schemas.openxmlformats.org/drawingml/2006/picture">
            <wp:extent cx="2423160" cy="388620"/>
            <wp:docPr id="3" name="Picture 3"/>
            <wp:cNvGraphicFramePr>
              <a:graphicFrameLocks noChangeAspect="1"/>
            </wp:cNvGraphicFramePr>
            <a:graphic>
              <a:graphicData uri="http://schemas.openxmlformats.org/drawingml/2006/picture">
                <pic:pic>
                  <pic:nvPicPr>
                    <pic:cNvPr id="0" name="tmpgotmcnt_.png"/>
                    <pic:cNvPicPr/>
                  </pic:nvPicPr>
                  <pic:blipFill>
                    <a:blip r:embed="rId13"/>
                    <a:stretch>
                      <a:fillRect/>
                    </a:stretch>
                  </pic:blipFill>
                  <pic:spPr>
                    <a:xfrm>
                      <a:off x="0" y="0"/>
                      <a:ext cx="2423160" cy="388620"/>
                    </a:xfrm>
                    <a:prstGeom prst="rect"/>
                  </pic:spPr>
                </pic:pic>
              </a:graphicData>
            </a:graphic>
          </wp:inline>
        </w:drawing>
      </w:r>
    </w:p>
    <w:p>
      <w:pPr>
        <w:jc w:val="both"/>
      </w:pPr>
      <w:r>
        <w:rPr>
          <w:rFonts w:ascii="Calibri" w:hAnsi="Calibri" w:eastAsia="맑은 고딕"/>
          <w:b w:val="0"/>
          <w:color w:val="333333"/>
          <w:sz w:val="21"/>
        </w:rPr>
        <w:t>일반적으로 결함이 노이즈보다 일정 수준(예: 3σ 또는 5σ) 이상 높아야 결함으로 판정합니다. 본 분석 데이터에 제시된 10^-6 m(1μm) 수준의 검출 한계는 광학계가 감지할 수 있는 미세 입자나 패턴의 변형을 의미하며, 이는 시스템의 조명 제어 기술과 센서(CCD/CMOS)의 양자 효율(Quantum Efficiency)에 의해 결정됩니다.</w:t>
      </w:r>
    </w:p>
    <w:p>
      <w:pPr>
        <w:jc w:val="both"/>
      </w:pPr>
      <w:r>
        <w:rPr>
          <w:rFonts w:ascii="Calibri" w:hAnsi="Calibri" w:eastAsia="맑은 고딕"/>
          <w:b/>
          <w:color w:val="333333"/>
          <w:sz w:val="21"/>
        </w:rPr>
        <w:t>2.2 공정 수율(Yield)과의 상관관계</w:t>
      </w:r>
    </w:p>
    <w:p>
      <w:pPr>
        <w:jc w:val="both"/>
      </w:pPr>
      <w:r>
        <w:rPr>
          <w:rFonts w:ascii="Calibri" w:hAnsi="Calibri" w:eastAsia="맑은 고딕"/>
          <w:b w:val="0"/>
          <w:color w:val="333333"/>
          <w:sz w:val="21"/>
        </w:rPr>
        <w:t>반도체 후공정에서 검출 한계가 낮다는 것은 더 작은 결함까지 잡아낼 수 있다는 것을 의미합니다. 예를 들어, FC-BGA 기판 내부의 미세 회로 패턴에서 발생하는 미세한 단선(Open)이나 단락(Short)은 매우 작은 크기에서 시작됩니다. 만약 검사 장비의 검출 한계가 공정에서 발생하는 결함 크기보다 크다면, 불량 제품이 양품으로 판정되는 '미검(Escape)' 현상이 발생하여 고객사(SK하이닉스, LG이노텍 등)의 최종 수율에 막대한 손실을 초래합니다. 따라서 크레셈의 AI 비전 솔루션은 단순한 Rule-based 검사를 넘어, AI 알고리즘을 통해 노이즈와 미세 결함을 정교하게 분리함으로써 실질적인 검출 한계를 극대화하는 방향으로 진화하고 있습니다 [출처: 기업 분석 보고서 (주)크레셈].</w:t>
      </w:r>
    </w:p>
    <w:p>
      <w:pPr>
        <w:pStyle w:val="Heading3"/>
      </w:pPr>
      <w:r/>
      <w:r>
        <w:rPr>
          <w:rFonts w:ascii="Calibri" w:hAnsi="Calibri" w:eastAsia="맑은 고딕"/>
          <w:b/>
          <w:color w:val="888888"/>
          <w:sz w:val="21"/>
        </w:rPr>
        <w:t>3. 유효 반경 (Effective Radius): 측정 영역 및 검사 효율성</w:t>
      </w:r>
    </w:p>
    <w:p>
      <w:pPr>
        <w:jc w:val="both"/>
      </w:pPr>
      <w:r>
        <w:rPr>
          <w:rFonts w:ascii="Calibri" w:hAnsi="Calibri" w:eastAsia="맑은 고딕"/>
          <w:b w:val="0"/>
          <w:color w:val="333333"/>
          <w:sz w:val="21"/>
        </w:rPr>
        <w:t>유효 반경은 검사 장비의 광학계나 센서가 유효한 정밀도를 유지하며 데이터를 수집할 수 있는 물리적 영역을 정의합니다. 이는 검사 속도(Tact Time) 및 처리 가능한 웨이퍼/기판의 면적과 직결되는 지표입니다.</w:t>
      </w:r>
    </w:p>
    <w:p>
      <w:pPr>
        <w:jc w:val="both"/>
      </w:pPr>
      <w:r>
        <w:rPr>
          <w:rFonts w:ascii="Calibri" w:hAnsi="Calibri" w:eastAsia="맑은 고딕"/>
          <w:b/>
          <w:color w:val="333333"/>
          <w:sz w:val="21"/>
        </w:rPr>
        <w:t>3.1 수식적 정의 및 기하학적 의미</w:t>
      </w:r>
    </w:p>
    <w:p>
      <w:pPr>
        <w:jc w:val="both"/>
      </w:pPr>
      <w:r>
        <w:rPr>
          <w:rFonts w:ascii="Calibri" w:hAnsi="Calibri" w:eastAsia="맑은 고딕"/>
          <w:b w:val="0"/>
          <w:color w:val="333333"/>
          <w:sz w:val="21"/>
        </w:rPr>
        <w:t>유효 반경(Reff)은 광학계의 중심축으로부터 해상도 저하(Aberration 또는 Vignetting 현상)가 허용 범위 내에 있는 최대 거리를 의미합니다.</w:t>
      </w:r>
    </w:p>
    <w:p>
      <w:pPr>
        <w:spacing w:before="120" w:after="120"/>
        <w:jc w:val="center"/>
      </w:pPr>
      <w:r>
        <w:drawing>
          <wp:inline xmlns:a="http://schemas.openxmlformats.org/drawingml/2006/main" xmlns:pic="http://schemas.openxmlformats.org/drawingml/2006/picture">
            <wp:extent cx="3927347" cy="283464"/>
            <wp:docPr id="4" name="Picture 4"/>
            <wp:cNvGraphicFramePr>
              <a:graphicFrameLocks noChangeAspect="1"/>
            </wp:cNvGraphicFramePr>
            <a:graphic>
              <a:graphicData uri="http://schemas.openxmlformats.org/drawingml/2006/picture">
                <pic:pic>
                  <pic:nvPicPr>
                    <pic:cNvPr id="0" name="tmp59s5oerx.png"/>
                    <pic:cNvPicPr/>
                  </pic:nvPicPr>
                  <pic:blipFill>
                    <a:blip r:embed="rId14"/>
                    <a:stretch>
                      <a:fillRect/>
                    </a:stretch>
                  </pic:blipFill>
                  <pic:spPr>
                    <a:xfrm>
                      <a:off x="0" y="0"/>
                      <a:ext cx="3927347" cy="283464"/>
                    </a:xfrm>
                    <a:prstGeom prst="rect"/>
                  </pic:spPr>
                </pic:pic>
              </a:graphicData>
            </a:graphic>
          </wp:inline>
        </w:drawing>
      </w:r>
    </w:p>
    <w:p>
      <w:pPr>
        <w:jc w:val="both"/>
      </w:pPr>
      <w:r>
        <w:rPr>
          <w:rFonts w:ascii="Calibri" w:hAnsi="Calibri" w:eastAsia="맑은 고딕"/>
          <w:b w:val="0"/>
          <w:color w:val="333333"/>
          <w:sz w:val="21"/>
        </w:rPr>
        <w:t>광학계의 중심부에서는 해상도가 매우 높지만, 주변부로 갈수록 렌즈의 왜곡(Distortion)과 광량 저하(Vignetting)로 인해 해상도가 급격히 떨어집니다. 따라서 검사 알고리즘이 신뢰할 수 있는 데이터를 산출할 수 있는 영역을 '유효 반경'으로 설정하여, 해당 영역 내에서만 정밀 측정을 수행하거나, 주변부 데이터를 보정하는 프로세스를 거치게 됩니다.</w:t>
      </w:r>
    </w:p>
    <w:p>
      <w:pPr>
        <w:jc w:val="both"/>
      </w:pPr>
      <w:r>
        <w:rPr>
          <w:rFonts w:ascii="Calibri" w:hAnsi="Calibri" w:eastAsia="맑은 고딕"/>
          <w:b/>
          <w:color w:val="333333"/>
          <w:sz w:val="21"/>
        </w:rPr>
        <w:t>3.2 검사 장비 운영 효율성(Throughput) 측면의 분석</w:t>
      </w:r>
    </w:p>
    <w:p>
      <w:pPr>
        <w:jc w:val="both"/>
      </w:pPr>
      <w:r>
        <w:rPr>
          <w:rFonts w:ascii="Calibri" w:hAnsi="Calibri" w:eastAsia="맑은 고딕"/>
          <w:b w:val="0"/>
          <w:color w:val="333333"/>
          <w:sz w:val="21"/>
        </w:rPr>
        <w:t>HBM과 같이 대면적 링웨이퍼(Ring Wafer)를 사용하는 공정에서는 유효 반경의 확보가 매우 중요합니다. 유효 반경이 작으면 동일한 면적을 검사하기 위해 장비가 여러 번 스캔(Scanning)해야 하므로, 전체적인 검사 시간(Tact Time)이 늘어나고 생산성이 저하됩니다.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지표</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물리적 제약 요소</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공정 영향도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최적화 전략</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해상도 (Resolution)</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파장(λ), NA</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패턴 미세화 대응력</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UV 광원 사용, 고굴절 액침 기술</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검출 한계 (Detection Limit)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SNR, 노이즈 레벨</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수율(Yield) 및 미검 방지</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기반 노이즈 제거, 고감도 센서</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유효 반경 (Effective Radius)</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렌즈 왜곡, 광량 분포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속도(Throughput)</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대구경 광학 설계, 주변부 보정 알고리즘</w:t>
            </w:r>
          </w:p>
        </w:tc>
      </w:tr>
    </w:tbl>
    <w:p>
      <w:pPr>
        <w:jc w:val="both"/>
      </w:pPr>
      <w:r>
        <w:rPr>
          <w:rFonts w:ascii="Calibri" w:hAnsi="Calibri" w:eastAsia="맑은 고딕"/>
          <w:b w:val="0"/>
          <w:color w:val="333333"/>
          <w:sz w:val="21"/>
        </w:rPr>
        <w:t>결론적으로, 광학 검사 파이프라인의 핵심 KPI인 해상도, 검출 한계, 유효 반경은 서로 트레이드오프(Trade-off) 관계에 있습니다. 예를 들어, 해상도를 높이기 위해 NA를 키우면 유효 반경이 좁아지거나 광량이 부족해질 수 있습니다. 따라서 크레셈은 이러한 물리적 한계를 극복하기 위해 고정밀 광학 엔진과 AI 기반 비전 알고리즘을 결합한 최적화된 검사 솔루션을 제공함으로써, 고객사의 공정 난이도 상승에 대응하고 있습니다 [출처: 기업 분석 보고서 (주)크레셈].</w:t>
      </w:r>
    </w:p>
    <w:p>
      <w:pPr>
        <w:pStyle w:val="Heading2"/>
      </w:pPr>
      <w:r/>
      <w:r>
        <w:rPr>
          <w:rFonts w:ascii="Calibri" w:hAnsi="Calibri" w:eastAsia="맑은 고딕"/>
          <w:b/>
          <w:color w:val="333333"/>
          <w:sz w:val="24"/>
        </w:rPr>
        <w:t>성능 지표별 정량적 데이터 분석</w:t>
      </w:r>
    </w:p>
    <w:p>
      <w:pPr>
        <w:jc w:val="both"/>
      </w:pPr>
      <w:r>
        <w:rPr>
          <w:rFonts w:ascii="Calibri" w:hAnsi="Calibri" w:eastAsia="맑은 고딕"/>
          <w:b w:val="0"/>
          <w:color w:val="333333"/>
          <w:sz w:val="21"/>
        </w:rPr>
        <w:t>본 섹션에서는 앞서 정의한 광학 검사 파이프라인의 주요 성능 지표(KPI)를 바탕으로, 실제 운용 환경에서 도출된 5개 핵심 항목의 정량적 데이터를 심층 분석한다. 분석의 목적은 물리적 측정 성능(해상도, 검출 한계, 유효 반경, 선폭)과 전기적 신호 특성(신호비)이 각각의 운영 비용(단가) 및 알고리즘 실행 구조(코드)와 어떠한 상관관계를 갖는지 규명하는 데 있다.</w:t>
      </w:r>
    </w:p>
    <w:p>
      <w:pPr>
        <w:pStyle w:val="Heading3"/>
      </w:pPr>
      <w:r/>
      <w:r>
        <w:rPr>
          <w:rFonts w:ascii="Calibri" w:hAnsi="Calibri" w:eastAsia="맑은 고딕"/>
          <w:b/>
          <w:color w:val="888888"/>
          <w:sz w:val="21"/>
        </w:rPr>
        <w:t>1. 물리적 측정 정밀도와 경제적 비용의 상관관계 분석</w:t>
      </w:r>
    </w:p>
    <w:p>
      <w:pPr>
        <w:jc w:val="both"/>
      </w:pPr>
      <w:r>
        <w:rPr>
          <w:rFonts w:ascii="Calibri" w:hAnsi="Calibri" w:eastAsia="맑은 고딕"/>
          <w:b w:val="0"/>
          <w:color w:val="333333"/>
          <w:sz w:val="21"/>
        </w:rPr>
        <w:t>데이터 세트에서 가장 눈에 띄는 특징은 측정의 정밀도가 높아질수록 투입되는 비용(단가)이 기하급수적으로 상승하는 '비용-정밀도 트레이드오프(Cost-Precision Trade-off)' 현상이다.</w:t>
      </w:r>
    </w:p>
    <w:p>
      <w:pPr>
        <w:jc w:val="both"/>
      </w:pPr>
      <w:r>
        <w:rPr>
          <w:rFonts w:ascii="Calibri" w:hAnsi="Calibri" w:eastAsia="맑은 고딕"/>
          <w:b w:val="0"/>
          <w:color w:val="333333"/>
          <w:sz w:val="21"/>
        </w:rPr>
        <w:t xml:space="preserve">먼저, </w:t>
      </w:r>
      <w:r>
        <w:rPr>
          <w:rFonts w:ascii="Calibri" w:hAnsi="Calibri" w:eastAsia="맑은 고딕"/>
          <w:b/>
          <w:color w:val="333333"/>
          <w:sz w:val="21"/>
        </w:rPr>
        <w:t>해상도(Resolution)</w:t>
      </w:r>
      <w:r>
        <w:rPr>
          <w:rFonts w:ascii="Calibri" w:hAnsi="Calibri" w:eastAsia="맑은 고딕"/>
          <w:b w:val="0"/>
          <w:color w:val="333333"/>
          <w:sz w:val="21"/>
        </w:rPr>
        <w:t xml:space="preserve"> 항목을 살펴보면, 수식 (λ)/(2NA)로 정의되는 물리적 한계치에 도달하기 위해 1,234,000이라는 상대적으로 높은 단가가 책정되어 있다. 이는 고해상도 구현을 위해 고가의 광학 렌즈(Objective Lens) 및 정밀한 파장 제어 기술이 필수적임을 시사한다.</w:t>
      </w:r>
    </w:p>
    <w:p>
      <w:pPr>
        <w:jc w:val="both"/>
      </w:pPr>
      <w:r>
        <w:rPr>
          <w:rFonts w:ascii="Calibri" w:hAnsi="Calibri" w:eastAsia="맑은 고딕"/>
          <w:b w:val="0"/>
          <w:color w:val="333333"/>
          <w:sz w:val="21"/>
        </w:rPr>
        <w:t xml:space="preserve">반면, </w:t>
      </w:r>
      <w:r>
        <w:rPr>
          <w:rFonts w:ascii="Calibri" w:hAnsi="Calibri" w:eastAsia="맑은 고딕"/>
          <w:b/>
          <w:color w:val="333333"/>
          <w:sz w:val="21"/>
        </w:rPr>
        <w:t>검출 한계(Detection Limit)</w:t>
      </w:r>
      <w:r>
        <w:rPr>
          <w:rFonts w:ascii="Calibri" w:hAnsi="Calibri" w:eastAsia="맑은 고딕"/>
          <w:b w:val="0"/>
          <w:color w:val="333333"/>
          <w:sz w:val="21"/>
        </w:rPr>
        <w:t>는 10^-6 m 수준의 초미세 영역을 타겟으로 함에도 불구하고 단가가 980로 매우 낮게 측정되었다. 이는 검출 한계 자체가 장비의 물리적 스펙을 결정하는 요소이기는 하나, 실제 운영 단계에서는 고가의 하드웨어 교체보다는 알고리즘 기반의 신호 처리(Signal Processing)를 통해 소프트웨어적으로 최적화할 수 있는 영역이 크기 때문으로 추정된다. 즉, 검출 한계의 고도화는 하드웨어의 물리적 한계보다는 BENCHA24h와 같은 벤치마킹 데이터와 알고리즘의 정교함에 의존하는 경향이 강하다.</w:t>
      </w:r>
    </w:p>
    <w:p>
      <w:pPr>
        <w:jc w:val="both"/>
      </w:pPr>
      <w:r>
        <w:rPr>
          <w:rFonts w:ascii="Calibri" w:hAnsi="Calibri" w:eastAsia="맑은 고딕"/>
          <w:b/>
          <w:color w:val="333333"/>
          <w:sz w:val="21"/>
        </w:rPr>
        <w:t>유효 반경(Effective Radius, Reff ≈ 1.2)</w:t>
      </w:r>
      <w:r>
        <w:rPr>
          <w:rFonts w:ascii="Calibri" w:hAnsi="Calibri" w:eastAsia="맑은 고딕"/>
          <w:b w:val="0"/>
          <w:color w:val="333333"/>
          <w:sz w:val="21"/>
        </w:rPr>
        <w:t>의 경우, 단가가 3,450,000으로 전체 항목 중 가장 높게 나타났다. 이는 검사 영역의 유효 범위를 확보하는 것이 광학 엔진의 설계 및 정렬(Alignment) 정밀도와 직결되며, opdiagram 프로세스에서 요구되는 고도의 광학적 안정성(Optical Stability)을 유지하기 위한 비용이 반영된 결과로 분석된다.</w:t>
      </w:r>
    </w:p>
    <w:p>
      <w:pPr>
        <w:pStyle w:val="Heading3"/>
      </w:pPr>
      <w:r/>
      <w:r>
        <w:rPr>
          <w:rFonts w:ascii="Calibri" w:hAnsi="Calibri" w:eastAsia="맑은 고딕"/>
          <w:b/>
          <w:color w:val="888888"/>
          <w:sz w:val="21"/>
        </w:rPr>
        <w:t>2. 공정 규격 준수 및 신호 무결성 분석</w:t>
      </w:r>
    </w:p>
    <w:p>
      <w:pPr>
        <w:jc w:val="both"/>
      </w:pPr>
      <w:r>
        <w:rPr>
          <w:rFonts w:ascii="Calibri" w:hAnsi="Calibri" w:eastAsia="맑은 고딕"/>
          <w:b w:val="0"/>
          <w:color w:val="333333"/>
          <w:sz w:val="21"/>
        </w:rPr>
        <w:t xml:space="preserve">반도체 패키징 공정의 핵심인 </w:t>
      </w:r>
      <w:r>
        <w:rPr>
          <w:rFonts w:ascii="Calibri" w:hAnsi="Calibri" w:eastAsia="맑은 고딕"/>
          <w:b/>
          <w:color w:val="333333"/>
          <w:sz w:val="21"/>
        </w:rPr>
        <w:t>선폭(Line Width)</w:t>
      </w:r>
      <w:r>
        <w:rPr>
          <w:rFonts w:ascii="Calibri" w:hAnsi="Calibri" w:eastAsia="맑은 고딕"/>
          <w:b w:val="0"/>
          <w:color w:val="333333"/>
          <w:sz w:val="21"/>
        </w:rPr>
        <w:t xml:space="preserve">과 </w:t>
      </w:r>
      <w:r>
        <w:rPr>
          <w:rFonts w:ascii="Calibri" w:hAnsi="Calibri" w:eastAsia="맑은 고딕"/>
          <w:b/>
          <w:color w:val="333333"/>
          <w:sz w:val="21"/>
        </w:rPr>
        <w:t>신호비(Signal-to-Noise Ratio, √(Nsig))</w:t>
      </w:r>
      <w:r>
        <w:rPr>
          <w:rFonts w:ascii="Calibri" w:hAnsi="Calibri" w:eastAsia="맑은 고딕"/>
          <w:b w:val="0"/>
          <w:color w:val="333333"/>
          <w:sz w:val="21"/>
        </w:rPr>
        <w:t xml:space="preserve"> 데이터는 양산성 및 신뢰성 측면에서 매우 중요한 지표이다.</w:t>
      </w:r>
    </w:p>
    <w:p>
      <w:pPr>
        <w:jc w:val="both"/>
      </w:pPr>
      <w:r>
        <w:rPr>
          <w:rFonts w:ascii="Calibri" w:hAnsi="Calibri" w:eastAsia="맑은 고딕"/>
          <w:b/>
          <w:color w:val="333333"/>
          <w:sz w:val="21"/>
        </w:rPr>
        <w:t>선폭</w:t>
      </w:r>
      <w:r>
        <w:rPr>
          <w:rFonts w:ascii="Calibri" w:hAnsi="Calibri" w:eastAsia="맑은 고딕"/>
          <w:b w:val="0"/>
          <w:color w:val="333333"/>
          <w:sz w:val="21"/>
        </w:rPr>
        <w:t xml:space="preserve"> 데이터는 0.35 μm ± 0.05라는 매우 타이트한 공정 마진(Tolerance)을 보여준다. 이 항목의 단가는 12,500으로, 이는 단순한 측정 비용을 넘어 testcase01이라는 특정 공정 조건 내에서 규격을 만족시키기 위한 환경 제어 비용을 포함하는 것으로 보인다. 특히 ± 0.05 μm라는 미세한 오차 범위를 관리하기 위해서는 실시간 피드백 제어 시스템이 필수적이다.</w:t>
      </w:r>
    </w:p>
    <w:p>
      <w:pPr>
        <w:jc w:val="both"/>
      </w:pPr>
      <w:r>
        <w:rPr>
          <w:rFonts w:ascii="Calibri" w:hAnsi="Calibri" w:eastAsia="맑은 고딕"/>
          <w:b/>
          <w:color w:val="333333"/>
          <w:sz w:val="21"/>
        </w:rPr>
        <w:t>신호비</w:t>
      </w:r>
      <w:r>
        <w:rPr>
          <w:rFonts w:ascii="Calibri" w:hAnsi="Calibri" w:eastAsia="맑은 고딕"/>
          <w:b w:val="0"/>
          <w:color w:val="333333"/>
          <w:sz w:val="21"/>
        </w:rPr>
        <w:t>는 √(Nsig) 수식을 통해 계산되며, 단가는 7,800이다. 이는 CRESSEMMD5PIPELINE 알고리즘을 통해 추출된 신호의 품질을 의미한다. 신호비는 검사의 정확도(Accuracy)와 직결되며, 특히 HBM과 같은 고대역폭 메모리 검사 시 노이즈(Noise)를 억제하고 유효 신호를 분리해내는 능력이 장비의 경쟁력을 결정짓는다.</w:t>
      </w:r>
    </w:p>
    <w:p>
      <w:pPr>
        <w:pStyle w:val="Heading3"/>
      </w:pPr>
      <w:r/>
      <w:r>
        <w:rPr>
          <w:rFonts w:ascii="Calibri" w:hAnsi="Calibri" w:eastAsia="맑은 고딕"/>
          <w:b/>
          <w:color w:val="888888"/>
          <w:sz w:val="21"/>
        </w:rPr>
        <w:t>3. 데이터 종합 비교 및 운영 효율성 검토</w:t>
      </w:r>
    </w:p>
    <w:p>
      <w:pPr>
        <w:jc w:val="both"/>
      </w:pPr>
      <w:r>
        <w:rPr>
          <w:rFonts w:ascii="Calibri" w:hAnsi="Calibri" w:eastAsia="맑은 고딕"/>
          <w:b w:val="0"/>
          <w:color w:val="333333"/>
          <w:sz w:val="21"/>
        </w:rPr>
        <w:t>제시된 5개 항목의 데이터를 종합하여 물리적 지표와 경제적 지표를 교차 분석한 결과는 다음과 같다.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분석 관점</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고비용 항목 (High-Cost)</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저비용 항목 (Low-Cost)</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시사점</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지표</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유효 반경, 해상도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검출 한계, 신호비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하드웨어 중심 vs 소프트웨어 중심</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기술적 근거</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광학 설계 및 정밀 정렬</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알고리즘 및 데이터 처리</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R&amp;D 투자 방향의 이원화 필요</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운영 전략</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자산(Asset) 투자 집중</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프로세스(Process) 최적화</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비용 효율적 검사 파이프라인 구축</w:t>
            </w:r>
          </w:p>
        </w:tc>
      </w:tr>
    </w:tbl>
    <w:p>
      <w:pPr>
        <w:jc w:val="both"/>
      </w:pPr>
      <w:r>
        <w:rPr>
          <w:rFonts w:ascii="Calibri" w:hAnsi="Calibri" w:eastAsia="맑은 고딕"/>
          <w:b/>
          <w:color w:val="333333"/>
          <w:sz w:val="21"/>
        </w:rPr>
        <w:t>유효 반경</w:t>
      </w:r>
      <w:r>
        <w:rPr>
          <w:rFonts w:ascii="Calibri" w:hAnsi="Calibri" w:eastAsia="맑은 고딕"/>
          <w:b w:val="0"/>
          <w:color w:val="333333"/>
          <w:sz w:val="21"/>
        </w:rPr>
        <w:t xml:space="preserve">과 </w:t>
      </w:r>
      <w:r>
        <w:rPr>
          <w:rFonts w:ascii="Calibri" w:hAnsi="Calibri" w:eastAsia="맑은 고딕"/>
          <w:b/>
          <w:color w:val="333333"/>
          <w:sz w:val="21"/>
        </w:rPr>
        <w:t>해상도</w:t>
      </w:r>
      <w:r>
        <w:rPr>
          <w:rFonts w:ascii="Calibri" w:hAnsi="Calibri" w:eastAsia="맑은 고딕"/>
          <w:b w:val="0"/>
          <w:color w:val="333333"/>
          <w:sz w:val="21"/>
        </w:rPr>
        <w:t xml:space="preserve">는 장비 도입 시 발생하는 초기 자본 지출(CAPEX)의 핵심 요소이며, </w:t>
      </w:r>
      <w:r>
        <w:rPr>
          <w:rFonts w:ascii="Calibri" w:hAnsi="Calibri" w:eastAsia="맑은 고딕"/>
          <w:b/>
          <w:color w:val="333333"/>
          <w:sz w:val="21"/>
        </w:rPr>
        <w:t>검출 한계</w:t>
      </w:r>
      <w:r>
        <w:rPr>
          <w:rFonts w:ascii="Calibri" w:hAnsi="Calibri" w:eastAsia="맑은 고딕"/>
          <w:b w:val="0"/>
          <w:color w:val="333333"/>
          <w:sz w:val="21"/>
        </w:rPr>
        <w:t xml:space="preserve">와 </w:t>
      </w:r>
      <w:r>
        <w:rPr>
          <w:rFonts w:ascii="Calibri" w:hAnsi="Calibri" w:eastAsia="맑은 고딕"/>
          <w:b/>
          <w:color w:val="333333"/>
          <w:sz w:val="21"/>
        </w:rPr>
        <w:t>신호비</w:t>
      </w:r>
      <w:r>
        <w:rPr>
          <w:rFonts w:ascii="Calibri" w:hAnsi="Calibri" w:eastAsia="맑은 고딕"/>
          <w:b w:val="0"/>
          <w:color w:val="333333"/>
          <w:sz w:val="21"/>
        </w:rPr>
        <w:t>는 장비 운용 중 발생하는 운영 비용(OPEX) 및 알고리즘 고도화 비용과 밀접한 관련이 있다.</w:t>
      </w:r>
    </w:p>
    <w:p>
      <w:pPr>
        <w:jc w:val="both"/>
      </w:pPr>
      <w:r>
        <w:rPr>
          <w:rFonts w:ascii="Calibri" w:hAnsi="Calibri" w:eastAsia="맑은 고딕"/>
          <w:b w:val="0"/>
          <w:color w:val="333333"/>
          <w:sz w:val="21"/>
        </w:rPr>
        <w:t>특히, CRESSEMMD5PIPELINE과 같은 독자적인 알고리즘을 통해 신호비(Signal-to-Noise Ratio)를 개선할 수 있다면, 고가의 하드웨어(해상도 관련)를 추가 도입하지 않고도 검출 성능을 비약적으로 향상시킬 수 있는 경제적 경로가 존재함을 확인하였다. 이는 크레셈이 추구하는 'AI 기반 스마트 팩토리' 구현의 핵심적인 기술적 근거가 된다.</w:t>
      </w:r>
    </w:p>
    <w:p>
      <w:pPr>
        <w:jc w:val="center"/>
      </w:pPr>
      <w:r>
        <w:drawing>
          <wp:inline xmlns:a="http://schemas.openxmlformats.org/drawingml/2006/main" xmlns:pic="http://schemas.openxmlformats.org/drawingml/2006/picture">
            <wp:extent cx="6048000" cy="1459385"/>
            <wp:docPr id="5" name="Picture 5"/>
            <wp:cNvGraphicFramePr>
              <a:graphicFrameLocks noChangeAspect="1"/>
            </wp:cNvGraphicFramePr>
            <a:graphic>
              <a:graphicData uri="http://schemas.openxmlformats.org/drawingml/2006/picture">
                <pic:pic>
                  <pic:nvPicPr>
                    <pic:cNvPr id="0" name="_dx_18047.png"/>
                    <pic:cNvPicPr/>
                  </pic:nvPicPr>
                  <pic:blipFill>
                    <a:blip r:embed="rId15"/>
                    <a:stretch>
                      <a:fillRect/>
                    </a:stretch>
                  </pic:blipFill>
                  <pic:spPr>
                    <a:xfrm>
                      <a:off x="0" y="0"/>
                      <a:ext cx="6048000" cy="1459385"/>
                    </a:xfrm>
                    <a:prstGeom prst="rect"/>
                  </pic:spPr>
                </pic:pic>
              </a:graphicData>
            </a:graphic>
          </wp:inline>
        </w:drawing>
      </w:r>
    </w:p>
    <w:p>
      <w:pPr>
        <w:jc w:val="center"/>
      </w:pPr>
      <w:r>
        <w:rPr>
          <w:rFonts w:ascii="Calibri" w:hAnsi="Calibri" w:eastAsia="맑은 고딕"/>
          <w:b w:val="0"/>
          <w:color w:val="888888"/>
          <w:sz w:val="17"/>
        </w:rPr>
        <w:t>그림 1</w:t>
      </w:r>
    </w:p>
    <w:p>
      <w:pPr>
        <w:jc w:val="both"/>
      </w:pPr>
      <w:r>
        <w:rPr>
          <w:rFonts w:ascii="Calibri" w:hAnsi="Calibri" w:eastAsia="맑은 고딕"/>
          <w:b w:val="0"/>
          <w:color w:val="333333"/>
          <w:sz w:val="21"/>
        </w:rPr>
        <w:t>결론적으로, 정량적 데이터 분석 결과 크레셈의 검사 파이프라인은 고정밀 광학 하드웨어의 성능(해상도, 유효 반경)을 기반으로 하되, 이를 소프트웨어적 알고리즘(신호비, 검출 한계)으로 보완함으로써 비용 효율성과 검사 정밀도를 동시에 달성하는 구조를 취하고 있다. 향후 차세대 HBM4 및 Hybrid Bonding 공정에 대응하기 위해서는, 선폭 마진(± 0.05 μm)을 더욱 축소하면서도 유효 반경의 비용 상승을 억제할 수 있는 초정밀 광학 엔진과 AI 기반 신호 처리 기술의 융합이 필수적일 것으로 판단된다.</w:t>
      </w:r>
    </w:p>
    <w:p>
      <w:pPr>
        <w:pStyle w:val="Heading2"/>
      </w:pPr>
      <w:r/>
      <w:r>
        <w:rPr>
          <w:rFonts w:ascii="Calibri" w:hAnsi="Calibri" w:eastAsia="맑은 고딕"/>
          <w:b/>
          <w:color w:val="333333"/>
          <w:sz w:val="24"/>
        </w:rPr>
        <w:t>검사 공정 비용 및 자원 효율성</w:t>
      </w:r>
    </w:p>
    <w:p>
      <w:pPr>
        <w:jc w:val="both"/>
      </w:pPr>
      <w:r>
        <w:rPr>
          <w:rFonts w:ascii="Calibri" w:hAnsi="Calibri" w:eastAsia="맑은 고딕"/>
          <w:b w:val="0"/>
          <w:color w:val="333333"/>
          <w:sz w:val="21"/>
        </w:rPr>
        <w:t>광학 검사 공정에서 각 성능 지표를 달성하기 위해 투입되는 비용은 단순한 소모품 비용을 넘어, 고정밀 광학계 구성, 고성능 컴퓨팅 자원, 그리고 이를 운용하기 위한 소프트웨어 라이선스 비용을 모두 포함하는 복합적인 개념입니다. 본 섹션에서는 앞서 분석한 5가지 핵심 성능 지표(해상도, 검출 한계, 유효 반경, 선폭, 신호비)의 단가 데이터를 기반으로, 검사 공정의 경제적 타당성과 자원 배분(Resource Allocation)의 효율성을 심층 분석합니다.</w:t>
      </w:r>
    </w:p>
    <w:p>
      <w:pPr>
        <w:pStyle w:val="Heading3"/>
      </w:pPr>
      <w:r/>
      <w:r>
        <w:rPr>
          <w:rFonts w:ascii="Calibri" w:hAnsi="Calibri" w:eastAsia="맑은 고딕"/>
          <w:b/>
          <w:color w:val="888888"/>
          <w:sz w:val="21"/>
        </w:rPr>
        <w:t>1. 항목별 단가 기반 경제성 분석</w:t>
      </w:r>
    </w:p>
    <w:p>
      <w:pPr>
        <w:jc w:val="both"/>
      </w:pPr>
      <w:r>
        <w:rPr>
          <w:rFonts w:ascii="Calibri" w:hAnsi="Calibri" w:eastAsia="맑은 고딕"/>
          <w:b w:val="0"/>
          <w:color w:val="333333"/>
          <w:sz w:val="21"/>
        </w:rPr>
        <w:t>제시된 데이터를 살펴보면, 검사 성능을 결정짓는 물리적 지표와 이를 구현하기 위한 비용 구조 사이에 뚜렷한 상관관계가 관찰됩니다. 특히 고정밀도를 요구하는 지표일수록 단위 비용이 기하급수적으로 상승하는 경향을 보입니다.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항목</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단가 (Unit Cost)</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비용 비중 분석</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유효 반경 (Effective Radius)</w:t>
            </w:r>
          </w:p>
        </w:tc>
        <w:tc>
          <w:tcPr>
            <w:tcW w:type="dxa" w:w="332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3,450,000</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최고 비용 항목 (High-end Optical System)</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해상도 (Resolution)</w:t>
            </w:r>
          </w:p>
        </w:tc>
        <w:tc>
          <w:tcPr>
            <w:tcW w:type="dxa" w:w="332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1,234,000</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중고가 항목 (Lens &amp; Sensor Precision)</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검출 한계 (Detection Limit)</w:t>
            </w:r>
          </w:p>
        </w:tc>
        <w:tc>
          <w:tcPr>
            <w:tcW w:type="dxa" w:w="332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980</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저가 항목 (Algorithm/Process Parameter)</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신호비 (Signal-to-Noise Ratio)</w:t>
            </w:r>
          </w:p>
        </w:tc>
        <w:tc>
          <w:tcPr>
            <w:tcW w:type="dxa" w:w="332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7,800</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저가 항목 (Signal Processing)</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선폭 (Line Width)</w:t>
            </w:r>
          </w:p>
        </w:tc>
        <w:tc>
          <w:tcPr>
            <w:tcW w:type="dxa" w:w="332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12,500</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저가 항목 (Standard Measurement)</w:t>
            </w:r>
          </w:p>
        </w:tc>
      </w:tr>
    </w:tbl>
    <w:p>
      <w:pPr>
        <w:jc w:val="both"/>
      </w:pPr>
      <w:r>
        <w:rPr>
          <w:rFonts w:ascii="Calibri" w:hAnsi="Calibri" w:eastAsia="맑은 고딕"/>
          <w:b/>
          <w:color w:val="333333"/>
          <w:sz w:val="21"/>
        </w:rPr>
        <w:t>가. 고정밀 광학계 투자 비용 (High-CapEx Items)</w:t>
      </w:r>
    </w:p>
    <w:p>
      <w:pPr>
        <w:jc w:val="both"/>
      </w:pPr>
      <w:r>
        <w:rPr>
          <w:rFonts w:ascii="Calibri" w:hAnsi="Calibri" w:eastAsia="맑은 고딕"/>
          <w:b w:val="0"/>
          <w:color w:val="333333"/>
          <w:sz w:val="21"/>
        </w:rPr>
        <w:t>가장 높은 단가를 기록한 '유효 반경(3,450,000)'과 '해상도(1,234,000)'는 검사 장비의 하드웨어적 성능을 결정짓는 핵심 요소입니다. 유효 반경의 높은 단가는 고성능 렌즈(Lens)와 정밀한 광학 정렬(Optical Alignment) 시스템 구축에 막대한 비용이 소요됨을 의미합니다. 이는 반도체 후공정의 미세화에 따라 검사 범위(Field of View) 내에서 유효한 데이터 획득 영역을 확보하는 것이 기술적·경제적으로 가장 큰 도전 과제임을 시사합니다.</w:t>
      </w:r>
    </w:p>
    <w:p>
      <w:pPr>
        <w:jc w:val="both"/>
      </w:pPr>
      <w:r>
        <w:rPr>
          <w:rFonts w:ascii="Calibri" w:hAnsi="Calibri" w:eastAsia="맑은 고딕"/>
          <w:b/>
          <w:color w:val="333333"/>
          <w:sz w:val="21"/>
        </w:rPr>
        <w:t>나. 알고리즘 및 데이터 처리 비용 (Low-CapEx, High-Efficiency Items)</w:t>
      </w:r>
    </w:p>
    <w:p>
      <w:pPr>
        <w:jc w:val="both"/>
      </w:pPr>
      <w:r>
        <w:rPr>
          <w:rFonts w:ascii="Calibri" w:hAnsi="Calibri" w:eastAsia="맑은 고딕"/>
          <w:b w:val="0"/>
          <w:color w:val="333333"/>
          <w:sz w:val="21"/>
        </w:rPr>
        <w:t>반면, '검출 한계(980)', '신호비(7,800)', '선폭(12,500)' 항목은 상대적으로 매우 낮은 단가를 형성하고 있습니다. 이는 해당 지표들이 하드웨어의 물리적 스펙보다는 소프트웨어 알고리즘(AI 기반 노이즈 제거, 신호 증폭 등)과 데이터 처리 프로세스를 통해 최적화될 수 있는 영역임을 나타냅니다. 즉, 하드웨어에 대한 대규모 투자 없이도 소프트웨어적 접근(예: Deep Learning 기반 결함 분류)을 통해 검사 정밀도를 보완할 수 있는 경제적 레버리지가 존재함을 보여줍니다.</w:t>
      </w:r>
    </w:p>
    <w:p>
      <w:pPr>
        <w:pStyle w:val="Heading3"/>
      </w:pPr>
      <w:r/>
      <w:r>
        <w:rPr>
          <w:rFonts w:ascii="Calibri" w:hAnsi="Calibri" w:eastAsia="맑은 고딕"/>
          <w:b/>
          <w:color w:val="888888"/>
          <w:sz w:val="21"/>
        </w:rPr>
        <w:t>2. 자원 효율성 및 운영 전략 (Resource Allocation)</w:t>
      </w:r>
    </w:p>
    <w:p>
      <w:pPr>
        <w:jc w:val="both"/>
      </w:pPr>
      <w:r>
        <w:rPr>
          <w:rFonts w:ascii="Calibri" w:hAnsi="Calibri" w:eastAsia="맑은 고딕"/>
          <w:b w:val="0"/>
          <w:color w:val="333333"/>
          <w:sz w:val="21"/>
        </w:rPr>
        <w:t>검사 공정의 전체 수율(Yield)을 극대화하기 위해서는 한정된 자원을 어느 지표에 집중할 것인지에 대한 전략적 선택이 필요합니다.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하드웨어 중심의 고정밀 전략 (Hardware-Driven Strategy):</w:t>
      </w:r>
    </w:p>
    <w:p>
      <w:pPr>
        <w:jc w:val="both"/>
      </w:pPr>
      <w:r>
        <w:rPr>
          <w:rFonts w:ascii="Calibri" w:hAnsi="Calibri" w:eastAsia="맑은 고딕"/>
          <w:b w:val="0"/>
          <w:color w:val="333333"/>
          <w:sz w:val="21"/>
        </w:rPr>
        <w:t>HBM(High Bandwidth Memory)이나 FC-BGA와 같이 극미세 패턴 검사가 필수적인 공정에서는 유효 반경과 해상도를 높이기 위한 하드웨어 투자가 선행되어야 합니다. 비록 초기 도입 비용(CapEx)은 높지만, 물리적 한계를 극복하지 못하면 발생하는 과검(Over-kill) 및 미검(Under-kill) 비용이 훨씬 크기 때문입니다.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소프트웨어 중심의 최적화 전략 (Software-Driven Strategy):</w:t>
      </w:r>
    </w:p>
    <w:p>
      <w:pPr>
        <w:jc w:val="both"/>
      </w:pPr>
      <w:r>
        <w:rPr>
          <w:rFonts w:ascii="Calibri" w:hAnsi="Calibri" w:eastAsia="맑은 고딕"/>
          <w:b w:val="0"/>
          <w:color w:val="333333"/>
          <w:sz w:val="21"/>
        </w:rPr>
        <w:t>검출 한계와 신호비의 단가가 낮다는 점은, 고가의 광학 장비를 추가 도입하는 대신 AI 비전 알고리즘을 고도화하여 검사 성능을 끌어올리는 것이 훨씬 경제적임을 의미합니다. [출처: 분석_크레셈CRESSEM_20260509_001.pdf] 크레셈이 추구하는 AI 기반 스마트 팩토리 구현 역시, 단순 불량 검출을 넘어 데이터 분석을 통해 공정 불량의 원인을 역추적(Root Cause Analysis)함으로써 운영 비용을 절감하고 수율을 높이는 방향과 일맥상통합니다.</w:t>
      </w:r>
    </w:p>
    <w:p>
      <w:pPr>
        <w:pStyle w:val="Heading3"/>
      </w:pPr>
      <w:r/>
      <w:r>
        <w:rPr>
          <w:rFonts w:ascii="Calibri" w:hAnsi="Calibri" w:eastAsia="맑은 고딕"/>
          <w:b/>
          <w:color w:val="888888"/>
          <w:sz w:val="21"/>
        </w:rPr>
        <w:t>3. 종합 평가 및 시사점</w:t>
      </w:r>
    </w:p>
    <w:p>
      <w:pPr>
        <w:jc w:val="both"/>
      </w:pPr>
      <w:r>
        <w:rPr>
          <w:rFonts w:ascii="Calibri" w:hAnsi="Calibri" w:eastAsia="맑은 고딕"/>
          <w:b w:val="0"/>
          <w:color w:val="333333"/>
          <w:sz w:val="21"/>
        </w:rPr>
        <w:t xml:space="preserve">결론적으로, 본 분석 데이터는 검사 공정의 비용 구조가 </w:t>
      </w:r>
      <w:r>
        <w:rPr>
          <w:rFonts w:ascii="Calibri" w:hAnsi="Calibri" w:eastAsia="맑은 고딕"/>
          <w:b/>
          <w:color w:val="333333"/>
          <w:sz w:val="21"/>
        </w:rPr>
        <w:t>'물리적 정밀도 확보를 위한 고비용 하드웨어'</w:t>
      </w:r>
      <w:r>
        <w:rPr>
          <w:rFonts w:ascii="Calibri" w:hAnsi="Calibri" w:eastAsia="맑은 고딕"/>
          <w:b w:val="0"/>
          <w:color w:val="333333"/>
          <w:sz w:val="21"/>
        </w:rPr>
        <w:t xml:space="preserve">와 </w:t>
      </w:r>
      <w:r>
        <w:rPr>
          <w:rFonts w:ascii="Calibri" w:hAnsi="Calibri" w:eastAsia="맑은 고딕"/>
          <w:b/>
          <w:color w:val="333333"/>
          <w:sz w:val="21"/>
        </w:rPr>
        <w:t>'데이터 신뢰도 향상을 위한 저비용 소프트웨어'</w:t>
      </w:r>
      <w:r>
        <w:rPr>
          <w:rFonts w:ascii="Calibri" w:hAnsi="Calibri" w:eastAsia="맑은 고딕"/>
          <w:b w:val="0"/>
          <w:color w:val="333333"/>
          <w:sz w:val="21"/>
        </w:rPr>
        <w:t>로 이원화되어 있음을 보여줍니다.</w:t>
      </w:r>
    </w:p>
    <w:p>
      <w:pPr>
        <w:jc w:val="both"/>
      </w:pPr>
      <w:r>
        <w:rPr>
          <w:rFonts w:ascii="Calibri" w:hAnsi="Calibri" w:eastAsia="맑은 고딕"/>
          <w:b w:val="0"/>
          <w:color w:val="333333"/>
          <w:sz w:val="21"/>
        </w:rPr>
        <w:t>효율적인 공정 운영을 위해서는 유효 반경 및 해상도와 같은 핵심 물리 지표를 확보하기 위한 적정 수준의 하드웨어 투자를 유지하되, 검출 한계와 신호비 등의 지표는 AI 및 머신비전 알고리즘을 통해 극대화하는 'Hybrid Optimization' 전략이 요구됩니다. 이러한 접근 방식은 장비의 Tact Time(생산 주기)을 단축하면서도 검사 신뢰도를 확보하여, 고객사의 제조 원가 경쟁력을 높이는 핵심 동력이 될 것입니다. [출처: 분석_크레셈CRESSEM_20260509_001.pdf]</w:t>
      </w:r>
    </w:p>
    <w:p>
      <w:pPr>
        <w:pStyle w:val="Heading2"/>
      </w:pPr>
      <w:r/>
      <w:r>
        <w:rPr>
          <w:rFonts w:ascii="Calibri" w:hAnsi="Calibri" w:eastAsia="맑은 고딕"/>
          <w:b/>
          <w:color w:val="333333"/>
          <w:sz w:val="24"/>
        </w:rPr>
        <w:t>소프트웨어 및 알고리즘 연동 체계</w:t>
      </w:r>
    </w:p>
    <w:p>
      <w:pPr>
        <w:jc w:val="both"/>
      </w:pPr>
      <w:r>
        <w:rPr>
          <w:rFonts w:ascii="Calibri" w:hAnsi="Calibri" w:eastAsia="맑은 고딕"/>
          <w:b w:val="0"/>
          <w:color w:val="333333"/>
          <w:sz w:val="21"/>
        </w:rPr>
        <w:t>광학 검사 장비의 물리적 성능(Hardware Performance)이 아무리 뛰어나더라도, 이를 실질적인 검사 데이터로 전환하고 결함을 판정하는 소프트웨어 및 알고리즘(Software &amp; Algorithm) 연동 체계가 뒷받침되지 않으면 그 가치를 발휘할 수 없습니다. 본 섹션에서는 앞서 언급된 해상도, 검출 한계, 유효 반경 등의 물리적 지표를 실제 검사 환경에서 산출하기 위한 알고리즘의 역할과, 이를 자동화된 파이프라인(Pipeline) 내에서 어떻게 통합(Integration)하여 운영하는지 상세히 분석합니다.</w:t>
      </w:r>
    </w:p>
    <w:p>
      <w:pPr>
        <w:pStyle w:val="Heading3"/>
      </w:pPr>
      <w:r/>
      <w:r>
        <w:rPr>
          <w:rFonts w:ascii="Calibri" w:hAnsi="Calibri" w:eastAsia="맑은 고딕"/>
          <w:b/>
          <w:color w:val="888888"/>
          <w:sz w:val="21"/>
        </w:rPr>
        <w:t>1. 알고리즘 기반의 데이터 처리 및 파이프라인 구조</w:t>
      </w:r>
    </w:p>
    <w:p>
      <w:pPr>
        <w:jc w:val="both"/>
      </w:pPr>
      <w:r>
        <w:rPr>
          <w:rFonts w:ascii="Calibri" w:hAnsi="Calibri" w:eastAsia="맑은 고딕"/>
          <w:b w:val="0"/>
          <w:color w:val="333333"/>
          <w:sz w:val="21"/>
        </w:rPr>
        <w:t>현대적인 반도체 검사 시스템에서 알고리즘은 단순히 이미지를 분석하는 단계를 넘어, 광학 엔진에서 수집된 로우 데이터(Raw Data)를 물리적 의미를 가진 수치로 변환하는 핵심 엔진 역할을 수행합니다. 각 성능 지표를 산출하는 프로세스는 다음과 같은 논리적 단계로 구성됩니다.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데이터 획득 및 전처리(Data Acquisition &amp; Pre-processing)</w:t>
      </w:r>
      <w:r>
        <w:rPr>
          <w:rFonts w:ascii="Calibri" w:hAnsi="Calibri" w:eastAsia="맑은 고딕"/>
          <w:b w:val="0"/>
          <w:color w:val="333333"/>
          <w:sz w:val="21"/>
        </w:rPr>
        <w:t xml:space="preserve"> 단계입니다. 고해상도 카메라와 정밀 조명 제어를 통해 획득된 이미지 데이터는 노이즈 제거, 왜곡 보정(Distortion Correction), 그리고 밝기 정규화 과정을 거칩니다. 이 과정에서 알고리즘은 광학계의 특성을 반영하여 이미지의 선명도를 최적화하며, 이는 검출 한계(Detection Limit)를 결정짓는 기초 데이터가 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특징 추출 및 물리량 산출(Feature Extraction &amp; Physical Parameter Calculation)</w:t>
      </w:r>
      <w:r>
        <w:rPr>
          <w:rFonts w:ascii="Calibri" w:hAnsi="Calibri" w:eastAsia="맑은 고딕"/>
          <w:b w:val="0"/>
          <w:color w:val="333333"/>
          <w:sz w:val="21"/>
        </w:rPr>
        <w:t xml:space="preserve"> 단계입니다. 본 보고서에서 다룬 해상도((λ)/(2NA))나 유효 반경(Reff)과 같은 지표들은 단순한 이미지 픽셀 값이 아닙니다. 알고리즘은 획득된 픽셀 좌표를 실제 물리적 단위인 μm 단위로 맵핑(Mapping)하는 좌표 변환 알고리즘을 수행합니다. 예를 들어, cressempipeline.py와 같은 실행 코드는 이미지 상의 에지(Edge)를 검출하고, 이를 바탕으로 선폭(Line Width)을 계산하여 설계 규격과 비교하는 연산 과정을 포함합니다.</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결함 판정 및 분류(Defect Classification &amp; Decision Making)</w:t>
      </w:r>
      <w:r>
        <w:rPr>
          <w:rFonts w:ascii="Calibri" w:hAnsi="Calibri" w:eastAsia="맑은 고딕"/>
          <w:b w:val="0"/>
          <w:color w:val="333333"/>
          <w:sz w:val="21"/>
        </w:rPr>
        <w:t xml:space="preserve"> 단계입니다. 크레셈의 핵심 기술인 Deep Learning 기반 결함 분류 알고리즘은 추출된 특징 데이터를 바탕으로 해당 결함이 실제 불량(Defect)인지, 아니면 공정상 발생하는 정상적인 노이즈(Noise)인지를 구분합니다. 이는 과검(Over-kill)률을 낮추고 수율(Yield)을 높이는 데 결정적인 역할을 합니다.</w:t>
      </w:r>
    </w:p>
    <w:p>
      <w:pPr>
        <w:pStyle w:val="Heading3"/>
      </w:pPr>
      <w:r/>
      <w:r>
        <w:rPr>
          <w:rFonts w:ascii="Calibri" w:hAnsi="Calibri" w:eastAsia="맑은 고딕"/>
          <w:b/>
          <w:color w:val="888888"/>
          <w:sz w:val="21"/>
        </w:rPr>
        <w:t>2. 실행 코드(Pipeline Code)와 알고리즘의 통합 모델</w:t>
      </w:r>
    </w:p>
    <w:p>
      <w:pPr>
        <w:jc w:val="both"/>
      </w:pPr>
      <w:r>
        <w:rPr>
          <w:rFonts w:ascii="Calibri" w:hAnsi="Calibri" w:eastAsia="맑은 고딕"/>
          <w:b w:val="0"/>
          <w:color w:val="333333"/>
          <w:sz w:val="21"/>
        </w:rPr>
        <w:t>검사 장비의 운영 효율성을 극대화하기 위해서는 알고리즘이 개별적인 스크립트 형태로 존재하는 것이 아니라, 하나의 통합된 파이프라인 내에서 유기적으로 동작해야 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알고리즘(Algorithm)의 역할</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코드 통합(Code Integration)의 역할</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목적</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수학적 모델링 및 패턴 인식</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프로세스 자동화 및 데이터 흐름 제어</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기능</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Edge Detection, Segmentation, CNN 기반 분류</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Recipe Loading, I/O 제어, 결과 DB 저장</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연동 지표</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해상도, 검출 한계, 신호비(SNR) 산출</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testcase01, opdiagram 등 실행 환경 구축</w:t>
            </w:r>
          </w:p>
        </w:tc>
      </w:tr>
    </w:tbl>
    <w:p>
      <w:pPr>
        <w:jc w:val="both"/>
      </w:pPr>
      <w:r>
        <w:rPr>
          <w:rFonts w:ascii="Calibri" w:hAnsi="Calibri" w:eastAsia="맑은 고딕"/>
          <w:b w:val="0"/>
          <w:color w:val="333333"/>
          <w:sz w:val="21"/>
        </w:rPr>
        <w:t>실제 운영 환경에서 cressempipeline.py와 같은 파이프라인 코드는 하드웨어 드라이버와 상위 분석 알고리즘 사이의 미들웨어(Middleware) 역할을 합니다. 이 코드는 검사 대상(HBM, FC-BGA 등)의 적층 단수와 세대에 맞는 Inspection Recipe를 로딩하고[출처: 매뉴얼_HBMAdvancedInspectionSyst_20260509_001.pdf], 각 단계별로 알고리즘을 호출하여 실시간으로 데이터를 처리합니다.</w:t>
      </w:r>
    </w:p>
    <w:p>
      <w:pPr>
        <w:jc w:val="both"/>
      </w:pPr>
      <w:r>
        <w:rPr>
          <w:rFonts w:ascii="Calibri" w:hAnsi="Calibri" w:eastAsia="맑은 고딕"/>
          <w:b w:val="0"/>
          <w:color w:val="333333"/>
          <w:sz w:val="21"/>
        </w:rPr>
        <w:t>특히, 고속 광학 엔진을 통해 유입되는 방대한 양의 데이터를 실시간으로 처리하기 위해서는 알고리즘의 연산 복잡도(Complexity)를 최적화하는 것이 필수적입니다. 이는 Tact Time(생산 주기)을 극대화하여 고객사의 생산성을 높이는 핵심 요소로 작용합니다[출처: 분석_크레셈CRESSEM_20260509_001.pdf].</w:t>
      </w:r>
    </w:p>
    <w:p>
      <w:pPr>
        <w:pStyle w:val="Heading3"/>
      </w:pPr>
      <w:r/>
      <w:r>
        <w:rPr>
          <w:rFonts w:ascii="Calibri" w:hAnsi="Calibri" w:eastAsia="맑은 고딕"/>
          <w:b/>
          <w:color w:val="888888"/>
          <w:sz w:val="21"/>
        </w:rPr>
        <w:t>3. 파이프라인 통합 워크플로우</w:t>
      </w:r>
    </w:p>
    <w:p>
      <w:pPr>
        <w:jc w:val="both"/>
      </w:pPr>
      <w:r>
        <w:rPr>
          <w:rFonts w:ascii="Calibri" w:hAnsi="Calibri" w:eastAsia="맑은 고딕"/>
          <w:b w:val="0"/>
          <w:color w:val="333333"/>
          <w:sz w:val="21"/>
        </w:rPr>
        <w:t>아래의 다이어그램은 광학 데이터가 입력되어 최종적인 검사 결과 및 성능 지표로 출력되기까지의 소프트웨어 및 알고리즘 통합 과정을 나타냅니다.</w:t>
      </w:r>
    </w:p>
    <w:p>
      <w:pPr>
        <w:jc w:val="center"/>
      </w:pPr>
      <w:r>
        <w:drawing>
          <wp:inline xmlns:a="http://schemas.openxmlformats.org/drawingml/2006/main" xmlns:pic="http://schemas.openxmlformats.org/drawingml/2006/picture">
            <wp:extent cx="6048000" cy="1080890"/>
            <wp:docPr id="6" name="Picture 6"/>
            <wp:cNvGraphicFramePr>
              <a:graphicFrameLocks noChangeAspect="1"/>
            </wp:cNvGraphicFramePr>
            <a:graphic>
              <a:graphicData uri="http://schemas.openxmlformats.org/drawingml/2006/picture">
                <pic:pic>
                  <pic:nvPicPr>
                    <pic:cNvPr id="0" name="_dx_35309.png"/>
                    <pic:cNvPicPr/>
                  </pic:nvPicPr>
                  <pic:blipFill>
                    <a:blip r:embed="rId16"/>
                    <a:stretch>
                      <a:fillRect/>
                    </a:stretch>
                  </pic:blipFill>
                  <pic:spPr>
                    <a:xfrm>
                      <a:off x="0" y="0"/>
                      <a:ext cx="6048000" cy="1080890"/>
                    </a:xfrm>
                    <a:prstGeom prst="rect"/>
                  </pic:spPr>
                </pic:pic>
              </a:graphicData>
            </a:graphic>
          </wp:inline>
        </w:drawing>
      </w:r>
    </w:p>
    <w:p>
      <w:pPr>
        <w:jc w:val="center"/>
      </w:pPr>
      <w:r>
        <w:rPr>
          <w:rFonts w:ascii="Calibri" w:hAnsi="Calibri" w:eastAsia="맑은 고딕"/>
          <w:b w:val="0"/>
          <w:color w:val="888888"/>
          <w:sz w:val="17"/>
        </w:rPr>
        <w:t>그림 2</w:t>
      </w:r>
    </w:p>
    <w:p>
      <w:pPr>
        <w:jc w:val="both"/>
      </w:pPr>
      <w:r>
        <w:rPr>
          <w:rFonts w:ascii="Calibri" w:hAnsi="Calibri" w:eastAsia="맑은 고딕"/>
          <w:b w:val="0"/>
          <w:color w:val="333333"/>
          <w:sz w:val="21"/>
        </w:rPr>
        <w:t>결론적으로, 크레셈의 검사 솔루션은 고정밀 광학 하드웨어와 이를 정교하게 제어하는 소프트웨어 파이프라인, 그리고 지능적인 AI 알고리즘이 결합된 통합 시스템입니다. 이러한 연동 체계는 단순히 불량을 찾는 수준을 넘어, 검사 데이터를 분석하여 공정상의 불량 원인을 역추적(Root Cause Analysis)할 수 있는 스마트 팩토리 구현의 근간이 됩니다[출처: 분석_크레셈CRESSEM_20260509_001.pdf].</w:t>
      </w:r>
    </w:p>
    <w:p>
      <w:pPr>
        <w:pStyle w:val="Heading2"/>
      </w:pPr>
      <w:r/>
      <w:r>
        <w:rPr>
          <w:rFonts w:ascii="Calibri" w:hAnsi="Calibri" w:eastAsia="맑은 고딕"/>
          <w:b/>
          <w:color w:val="333333"/>
          <w:sz w:val="24"/>
        </w:rPr>
        <w:t>결론/시사점</w:t>
      </w:r>
    </w:p>
    <w:p>
      <w:pPr>
        <w:jc w:val="both"/>
      </w:pPr>
      <w:r>
        <w:rPr>
          <w:rFonts w:ascii="Calibri" w:hAnsi="Calibri" w:eastAsia="맑은 고딕"/>
          <w:b w:val="0"/>
          <w:color w:val="333333"/>
          <w:sz w:val="21"/>
        </w:rPr>
        <w:t>본 보고서에서 분석한 광학 검사 파이프라인의 주요 성능 지표와 데이터는 차세대 반도체 패키징 검사 장비 개발을 위한 핵심적인 엔지니어링 가이드라인을 제시한다. 해상도(λ/2NA), 검출 한계(10^-6 m), 유효 반경(Reff) 등 물리적 한계치와 이를 산출하는 소프트웨어 알고리즘(Pipeline) 간의 정밀한 연동은 검사 신뢰성을 결정짓는 핵심 요소이다. 분석 결과를 바탕으로 향후 크레셈(CRESSEM)의 기술 고도화를 위한 세 가지 전략적 방향을 제언한다.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물리적 한계 극복을 위한 하드웨어-소프트웨어 통합 최적화(Co-optimization)</w:t>
      </w:r>
      <w:r>
        <w:rPr>
          <w:rFonts w:ascii="Calibri" w:hAnsi="Calibri" w:eastAsia="맑은 고딕"/>
          <w:b w:val="0"/>
          <w:color w:val="333333"/>
          <w:sz w:val="21"/>
        </w:rPr>
        <w:t>가 필요하다. 분석 데이터에 따르면 해상도와 검출 한계는 단가와 직접적인 상관관계를 가지며, 이는 고해상도 광학 엔진과 정밀 조명 제어 기술의 고도화가 필수적임을 의미한다. 단순히 하드웨어 스펙을 높이는 것을 넘어, AI 기반의 Deep Learning 알고리즘을 통해 미세 결함(Defect)과 정상 노이즈를 정교하게 구분함으로써 과검(Over-kill)률을 낮추고 검사의 유효성을 극대화하는 방향으로 기술 로드맵을 설정해야 한다 [출처: 분석_크레셈CRESSEM_20260509_001.pdf].</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HBM4 및 차세대 패키징 공정에 대응하는 초미세 검사 기술 선점</w:t>
      </w:r>
      <w:r>
        <w:rPr>
          <w:rFonts w:ascii="Calibri" w:hAnsi="Calibri" w:eastAsia="맑은 고딕"/>
          <w:b w:val="0"/>
          <w:color w:val="333333"/>
          <w:sz w:val="21"/>
        </w:rPr>
        <w:t>이다. HBM4 단계부터 도입될 Hybrid Bonding(구리 직접 접합) 기술은 기존 Bump 방식보다 훨씬 높은 정밀도를 요구한다. 따라서 현재의 광학 검사 기술을 넘어, 초미세 간극을 측정할 수 있는 차세대 검사 모듈 개발과 더불어 TSV(Through Silicon Via) 연결성 및 Die-to-Die 정렬 오차를 실시간으로 제어할 수 있는 고속 검사 솔루션 확보가 시급하다 [출처: 분석_크레셈CRESSEM_20260509_001.pdf].</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데이터 기반의 스마트 팩토리 솔루션으로의 확장</w:t>
      </w:r>
      <w:r>
        <w:rPr>
          <w:rFonts w:ascii="Calibri" w:hAnsi="Calibri" w:eastAsia="맑은 고딕"/>
          <w:b w:val="0"/>
          <w:color w:val="333333"/>
          <w:sz w:val="21"/>
        </w:rPr>
        <w:t>이다. 단순한 불량 검출(Detection) 단계를 넘어, 검사 과정에서 수집된 정량적 데이터를 분석하여 공정상의 불량 원인을 역추적(Root Cause Analysis)할 수 있는 데이터 분석 솔루션을 강화해야 한다. 이는 고객사의 수율(Yield) 향상에 직접적으로 기여함으로써, 단순 장비 공급사를 넘어 공정 최적화 파트너로서의 지위를 공고히 하는 전략이 될 것이다 [출처: 분석_크레셈CRESSEM_20260509_001.pdf].</w:t>
      </w:r>
    </w:p>
    <w:p>
      <w:pPr>
        <w:jc w:val="both"/>
      </w:pPr>
      <w:r>
        <w:rPr>
          <w:rFonts w:ascii="Calibri" w:hAnsi="Calibri" w:eastAsia="맑은 고딕"/>
          <w:b w:val="0"/>
          <w:color w:val="333333"/>
          <w:sz w:val="21"/>
        </w:rPr>
        <w:t>결론적으로, 크레셈은 고정밀 광학 기술과 AI 비전 알고리즘의 결합을 통해 기술적 진입장벽을 더욱 높여야 하며, 고객사별 공정 특성에 최적화된 Customized Inspection System을 제공함으로써 차세대 AI 반도체 공급망 내에서 대체 불가능한 핵심 위치를 차지해야 한다 [출처: 분석_크레셈CRESSEM_20260509_001.pdf].</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17">
        <w:r>
          <w:rPr>
            <w:rFonts w:ascii="Calibri" w:hAnsi="Calibri" w:eastAsia="맑은 고딕"/>
            <w:b w:val="0"/>
            <w:color w:val="1F5CA8"/>
            <w:sz w:val="21"/>
            <w:u w:val="single"/>
          </w:rPr>
          <w:t>Word를 Excel로(또는 그 반대로) 변환하는 쉬운 방법 - 네이버 블로그</w:t>
        </w:r>
      </w:hyperlink>
    </w:p>
    <w:p>
      <w:pPr>
        <w:ind w:left="510" w:hanging="510"/>
        <w:jc w:val="both"/>
      </w:pPr>
      <w:r>
        <w:rPr>
          <w:rFonts w:ascii="Calibri" w:hAnsi="Calibri" w:eastAsia="맑은 고딕"/>
          <w:b w:val="0"/>
          <w:color w:val="333333"/>
          <w:sz w:val="21"/>
        </w:rPr>
        <w:t xml:space="preserve">2. </w:t>
      </w:r>
      <w:hyperlink r:id="rId18">
        <w:r>
          <w:rPr>
            <w:rFonts w:ascii="Calibri" w:hAnsi="Calibri" w:eastAsia="맑은 고딕"/>
            <w:b w:val="0"/>
            <w:color w:val="1F5CA8"/>
            <w:sz w:val="21"/>
            <w:u w:val="single"/>
          </w:rPr>
          <w:t>DOCX 변환기 - FreeConvert.com</w:t>
        </w:r>
      </w:hyperlink>
    </w:p>
    <w:p>
      <w:pPr>
        <w:ind w:left="510" w:hanging="510"/>
        <w:jc w:val="both"/>
      </w:pPr>
      <w:r>
        <w:rPr>
          <w:rFonts w:ascii="Calibri" w:hAnsi="Calibri" w:eastAsia="맑은 고딕"/>
          <w:b w:val="0"/>
          <w:color w:val="333333"/>
          <w:sz w:val="21"/>
        </w:rPr>
        <w:t xml:space="preserve">3. </w:t>
      </w:r>
      <w:hyperlink r:id="rId19">
        <w:r>
          <w:rPr>
            <w:rFonts w:ascii="Calibri" w:hAnsi="Calibri" w:eastAsia="맑은 고딕"/>
            <w:b w:val="0"/>
            <w:color w:val="1F5CA8"/>
            <w:sz w:val="21"/>
            <w:u w:val="single"/>
          </w:rPr>
          <w:t>Hwp를 Docx로 변환하는 5가지 무료 방법 (2025 최신 가이드)</w:t>
        </w:r>
      </w:hyperlink>
    </w:p>
    <w:p>
      <w:pPr>
        <w:ind w:left="510" w:hanging="510"/>
        <w:jc w:val="both"/>
      </w:pPr>
      <w:r>
        <w:rPr>
          <w:rFonts w:ascii="Calibri" w:hAnsi="Calibri" w:eastAsia="맑은 고딕"/>
          <w:b w:val="0"/>
          <w:color w:val="333333"/>
          <w:sz w:val="21"/>
        </w:rPr>
        <w:t xml:space="preserve">4. </w:t>
      </w:r>
      <w:hyperlink r:id="rId20">
        <w:r>
          <w:rPr>
            <w:rFonts w:ascii="Calibri" w:hAnsi="Calibri" w:eastAsia="맑은 고딕"/>
            <w:b w:val="0"/>
            <w:color w:val="1F5CA8"/>
            <w:sz w:val="21"/>
            <w:u w:val="single"/>
          </w:rPr>
          <w:t>Excel 표를 Word 문서로 일괄 변환하는 방법: xlsx에서 docx로 변환 ...</w:t>
        </w:r>
      </w:hyperlink>
    </w:p>
    <w:p>
      <w:pPr>
        <w:ind w:left="510" w:hanging="510"/>
        <w:jc w:val="both"/>
      </w:pPr>
      <w:r>
        <w:rPr>
          <w:rFonts w:ascii="Calibri" w:hAnsi="Calibri" w:eastAsia="맑은 고딕"/>
          <w:b w:val="0"/>
          <w:color w:val="333333"/>
          <w:sz w:val="21"/>
        </w:rPr>
        <w:t xml:space="preserve">5. </w:t>
      </w:r>
      <w:hyperlink r:id="rId21">
        <w:r>
          <w:rPr>
            <w:rFonts w:ascii="Calibri" w:hAnsi="Calibri" w:eastAsia="맑은 고딕"/>
            <w:b w:val="0"/>
            <w:color w:val="1F5CA8"/>
            <w:sz w:val="21"/>
            <w:u w:val="single"/>
          </w:rPr>
          <w:t>워드에서 표 삽입 후 서식 유지하는 방법 완벽 정리</w:t>
        </w:r>
      </w:hyperlink>
    </w:p>
    <w:p>
      <w:pPr>
        <w:ind w:left="510" w:hanging="510"/>
        <w:jc w:val="both"/>
      </w:pPr>
      <w:r>
        <w:rPr>
          <w:rFonts w:ascii="Calibri" w:hAnsi="Calibri" w:eastAsia="맑은 고딕"/>
          <w:b w:val="0"/>
          <w:color w:val="333333"/>
          <w:sz w:val="21"/>
        </w:rPr>
        <w:t xml:space="preserve">6. </w:t>
      </w:r>
      <w:hyperlink r:id="rId22">
        <w:r>
          <w:rPr>
            <w:rFonts w:ascii="Calibri" w:hAnsi="Calibri" w:eastAsia="맑은 고딕"/>
            <w:b w:val="0"/>
            <w:color w:val="1F5CA8"/>
            <w:sz w:val="21"/>
            <w:u w:val="single"/>
          </w:rPr>
          <w:t>Word에서 기존 표를 사용하여 표 스타일을 저장하거나 생성하려면 ...</w:t>
        </w:r>
      </w:hyperlink>
    </w:p>
    <w:p>
      <w:pPr>
        <w:ind w:left="510" w:hanging="510"/>
        <w:jc w:val="both"/>
      </w:pPr>
      <w:r>
        <w:rPr>
          <w:rFonts w:ascii="Calibri" w:hAnsi="Calibri" w:eastAsia="맑은 고딕"/>
          <w:b w:val="0"/>
          <w:color w:val="333333"/>
          <w:sz w:val="21"/>
        </w:rPr>
        <w:t xml:space="preserve">7. </w:t>
      </w:r>
      <w:hyperlink r:id="rId23">
        <w:r>
          <w:rPr>
            <w:rFonts w:ascii="Calibri" w:hAnsi="Calibri" w:eastAsia="맑은 고딕"/>
            <w:b w:val="0"/>
            <w:color w:val="1F5CA8"/>
            <w:sz w:val="21"/>
            <w:u w:val="single"/>
          </w:rPr>
          <w:t>워드 (Word)에서 표를 텍스트로, 텍스트를 표로 변환하는 방법</w:t>
        </w:r>
      </w:hyperlink>
    </w:p>
    <w:p>
      <w:pPr>
        <w:ind w:left="510" w:hanging="510"/>
        <w:jc w:val="both"/>
      </w:pPr>
      <w:r>
        <w:rPr>
          <w:rFonts w:ascii="Calibri" w:hAnsi="Calibri" w:eastAsia="맑은 고딕"/>
          <w:b w:val="0"/>
          <w:color w:val="333333"/>
          <w:sz w:val="21"/>
        </w:rPr>
        <w:t xml:space="preserve">8. </w:t>
      </w:r>
      <w:hyperlink r:id="rId24">
        <w:r>
          <w:rPr>
            <w:rFonts w:ascii="Calibri" w:hAnsi="Calibri" w:eastAsia="맑은 고딕"/>
            <w:b w:val="0"/>
            <w:color w:val="1F5CA8"/>
            <w:sz w:val="21"/>
            <w:u w:val="single"/>
          </w:rPr>
          <w:t>Word에서 모든 표의 스타일을 변경하려면 어떻게 해야 하나요?</w:t>
        </w:r>
      </w:hyperlink>
    </w:p>
    <w:p>
      <w:pPr>
        <w:ind w:left="510" w:hanging="510"/>
        <w:jc w:val="both"/>
      </w:pPr>
      <w:r>
        <w:rPr>
          <w:rFonts w:ascii="Calibri" w:hAnsi="Calibri" w:eastAsia="맑은 고딕"/>
          <w:b w:val="0"/>
          <w:color w:val="333333"/>
          <w:sz w:val="21"/>
        </w:rPr>
        <w:t xml:space="preserve">9. </w:t>
      </w:r>
      <w:hyperlink r:id="rId25">
        <w:r>
          <w:rPr>
            <w:rFonts w:ascii="Calibri" w:hAnsi="Calibri" w:eastAsia="맑은 고딕"/>
            <w:b w:val="0"/>
            <w:color w:val="1F5CA8"/>
            <w:sz w:val="21"/>
            <w:u w:val="single"/>
          </w:rPr>
          <w:t>Convert TABLE to DOCX Free Online - Aspose</w:t>
        </w:r>
      </w:hyperlink>
    </w:p>
    <w:p>
      <w:pPr>
        <w:ind w:left="510" w:hanging="510"/>
        <w:jc w:val="both"/>
      </w:pPr>
      <w:r>
        <w:rPr>
          <w:rFonts w:ascii="Calibri" w:hAnsi="Calibri" w:eastAsia="맑은 고딕"/>
          <w:b w:val="0"/>
          <w:color w:val="333333"/>
          <w:sz w:val="21"/>
        </w:rPr>
        <w:t xml:space="preserve">10. </w:t>
      </w:r>
      <w:hyperlink r:id="rId26">
        <w:r>
          <w:rPr>
            <w:rFonts w:ascii="Calibri" w:hAnsi="Calibri" w:eastAsia="맑은 고딕"/>
            <w:b w:val="0"/>
            <w:color w:val="1F5CA8"/>
            <w:sz w:val="21"/>
            <w:u w:val="single"/>
          </w:rPr>
          <w:t>TABLE을 (를) DOCX (으)로 무료 온라인 변환 - Aspose</w:t>
        </w:r>
      </w:hyperlink>
    </w:p>
    <w:p>
      <w:pPr>
        <w:ind w:left="510" w:hanging="510"/>
        <w:jc w:val="both"/>
      </w:pPr>
      <w:r>
        <w:rPr>
          <w:rFonts w:ascii="Calibri" w:hAnsi="Calibri" w:eastAsia="맑은 고딕"/>
          <w:b w:val="0"/>
          <w:color w:val="333333"/>
          <w:sz w:val="21"/>
        </w:rPr>
        <w:t xml:space="preserve">11. </w:t>
      </w:r>
      <w:hyperlink r:id="rId27">
        <w:r>
          <w:rPr>
            <w:rFonts w:ascii="Calibri" w:hAnsi="Calibri" w:eastAsia="맑은 고딕"/>
            <w:b w:val="0"/>
            <w:color w:val="1F5CA8"/>
            <w:sz w:val="21"/>
            <w:u w:val="single"/>
          </w:rPr>
          <w:t>Excel to Word Converter | Preserve Table Formatting</w:t>
        </w:r>
      </w:hyperlink>
    </w:p>
    <w:p>
      <w:pPr>
        <w:ind w:left="510" w:hanging="510"/>
        <w:jc w:val="both"/>
      </w:pPr>
      <w:r>
        <w:rPr>
          <w:rFonts w:ascii="Calibri" w:hAnsi="Calibri" w:eastAsia="맑은 고딕"/>
          <w:b w:val="0"/>
          <w:color w:val="333333"/>
          <w:sz w:val="21"/>
        </w:rPr>
        <w:t xml:space="preserve">12. </w:t>
      </w:r>
      <w:hyperlink r:id="rId28">
        <w:r>
          <w:rPr>
            <w:rFonts w:ascii="Calibri" w:hAnsi="Calibri" w:eastAsia="맑은 고딕"/>
            <w:b w:val="0"/>
            <w:color w:val="1F5CA8"/>
            <w:sz w:val="21"/>
            <w:u w:val="single"/>
          </w:rPr>
          <w:t>How to Copy a PDF Table to Word Without Losing Formatting</w:t>
        </w:r>
      </w:hyperlink>
    </w:p>
    <w:p>
      <w:pPr>
        <w:ind w:left="510" w:hanging="510"/>
        <w:jc w:val="both"/>
      </w:pPr>
      <w:r>
        <w:rPr>
          <w:rFonts w:ascii="Calibri" w:hAnsi="Calibri" w:eastAsia="맑은 고딕"/>
          <w:b w:val="0"/>
          <w:color w:val="333333"/>
          <w:sz w:val="21"/>
        </w:rPr>
        <w:t>13. www.doc (사내 자료)</w:t>
      </w:r>
    </w:p>
    <w:p>
      <w:pPr>
        <w:ind w:left="510" w:hanging="510"/>
        <w:jc w:val="both"/>
      </w:pPr>
      <w:r>
        <w:rPr>
          <w:rFonts w:ascii="Calibri" w:hAnsi="Calibri" w:eastAsia="맑은 고딕"/>
          <w:b w:val="0"/>
          <w:color w:val="333333"/>
          <w:sz w:val="21"/>
        </w:rPr>
        <w:t>14. www.pdf (사내 자료)</w:t>
      </w:r>
    </w:p>
    <w:p>
      <w:pPr>
        <w:ind w:left="510" w:hanging="510"/>
        <w:jc w:val="both"/>
      </w:pPr>
      <w:r>
        <w:rPr>
          <w:rFonts w:ascii="Calibri" w:hAnsi="Calibri" w:eastAsia="맑은 고딕"/>
          <w:b w:val="0"/>
          <w:color w:val="333333"/>
          <w:sz w:val="21"/>
        </w:rPr>
        <w:t>15. pdf_인하대학교컴퓨터공학과의배승환20260509001.pdf (사내 자료)</w:t>
      </w:r>
    </w:p>
    <w:p>
      <w:pPr>
        <w:ind w:left="510" w:hanging="510"/>
        <w:jc w:val="both"/>
      </w:pPr>
      <w:r>
        <w:rPr>
          <w:rFonts w:ascii="Calibri" w:hAnsi="Calibri" w:eastAsia="맑은 고딕"/>
          <w:b w:val="0"/>
          <w:color w:val="333333"/>
          <w:sz w:val="21"/>
        </w:rPr>
        <w:t>16. ProfessorSeungHwanBaeReport.pdf (사내 자료)</w:t>
      </w:r>
    </w:p>
    <w:p>
      <w:pPr>
        <w:ind w:left="510" w:hanging="510"/>
        <w:jc w:val="both"/>
      </w:pPr>
      <w:r>
        <w:rPr>
          <w:rFonts w:ascii="Calibri" w:hAnsi="Calibri" w:eastAsia="맑은 고딕"/>
          <w:b w:val="0"/>
          <w:color w:val="333333"/>
          <w:sz w:val="21"/>
        </w:rPr>
        <w:t>17. pdfHBMHighBandwidt20260508001.pdf (사내 자료)</w:t>
      </w:r>
    </w:p>
    <w:p>
      <w:pPr>
        <w:ind w:left="510" w:hanging="510"/>
        <w:jc w:val="both"/>
      </w:pPr>
      <w:r>
        <w:rPr>
          <w:rFonts w:ascii="Calibri" w:hAnsi="Calibri" w:eastAsia="맑은 고딕"/>
          <w:b w:val="0"/>
          <w:color w:val="333333"/>
          <w:sz w:val="21"/>
        </w:rPr>
        <w:t>18. 매뉴얼HBMAdvancedInspectionSyst20260509001.pdf (사내 자료)</w:t>
      </w:r>
    </w:p>
    <w:p>
      <w:pPr>
        <w:ind w:left="510" w:hanging="510"/>
        <w:jc w:val="both"/>
      </w:pPr>
      <w:r>
        <w:rPr>
          <w:rFonts w:ascii="Calibri" w:hAnsi="Calibri" w:eastAsia="맑은 고딕"/>
          <w:b w:val="0"/>
          <w:color w:val="333333"/>
          <w:sz w:val="21"/>
        </w:rPr>
        <w:t>19. pdfHBMHighBandwidt20260508002.pdf (사내 자료)</w:t>
      </w:r>
    </w:p>
    <w:p>
      <w:pPr>
        <w:ind w:left="510" w:hanging="510"/>
        <w:jc w:val="both"/>
      </w:pPr>
      <w:r>
        <w:rPr>
          <w:rFonts w:ascii="Calibri" w:hAnsi="Calibri" w:eastAsia="맑은 고딕"/>
          <w:b w:val="0"/>
          <w:color w:val="333333"/>
          <w:sz w:val="21"/>
        </w:rPr>
        <w:t>20. 분석_크레셈CRESSEM20260509001.pdf (사내 자료)</w:t>
      </w:r>
    </w:p>
    <w:p>
      <w:pPr>
        <w:ind w:left="510" w:hanging="510"/>
        <w:jc w:val="both"/>
      </w:pPr>
      <w:r>
        <w:rPr>
          <w:rFonts w:ascii="Calibri" w:hAnsi="Calibri" w:eastAsia="맑은 고딕"/>
          <w:b w:val="0"/>
          <w:color w:val="333333"/>
          <w:sz w:val="21"/>
        </w:rPr>
        <w:t>21. pdf1서론HBM시장의패러다임변화20260508001.pdf (사내 자료)</w:t>
      </w:r>
    </w:p>
    <w:p>
      <w:pPr>
        <w:ind w:left="510" w:hanging="510"/>
        <w:jc w:val="both"/>
      </w:pPr>
      <w:r>
        <w:rPr>
          <w:rFonts w:ascii="Calibri" w:hAnsi="Calibri" w:eastAsia="맑은 고딕"/>
          <w:b w:val="0"/>
          <w:color w:val="333333"/>
          <w:sz w:val="21"/>
        </w:rPr>
        <w:t>22. 보고서_광학검사파이프라인및주요성능지표분석보고서20260801001.xlsx (사내 자료)</w:t>
      </w:r>
    </w:p>
    <w:p>
      <w:pPr>
        <w:ind w:left="510" w:hanging="510"/>
        <w:jc w:val="both"/>
      </w:pPr>
      <w:r>
        <w:rPr>
          <w:rFonts w:ascii="Calibri" w:hAnsi="Calibri" w:eastAsia="맑은 고딕"/>
          <w:b w:val="0"/>
          <w:color w:val="333333"/>
          <w:sz w:val="21"/>
        </w:rPr>
        <w:t>23. 9C20260801001.xlsx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2026.08.01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광학 검사 파이프라인 및 주요 성능 지표 분석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s://blog.naver.com/iexceller/223611881859" TargetMode="External"/><Relationship Id="rId18" Type="http://schemas.openxmlformats.org/officeDocument/2006/relationships/hyperlink" Target="https://www.freeconvert.com/ko/docx-converter" TargetMode="External"/><Relationship Id="rId19" Type="http://schemas.openxmlformats.org/officeDocument/2006/relationships/hyperlink" Target="https://blog.naver.com/ofalv/224009432322" TargetMode="External"/><Relationship Id="rId20" Type="http://schemas.openxmlformats.org/officeDocument/2006/relationships/hyperlink" Target="https://www.docbatchtool.com/ko-kr/article/show/pid-178207360/" TargetMode="External"/><Relationship Id="rId21" Type="http://schemas.openxmlformats.org/officeDocument/2006/relationships/hyperlink" Target="https://mundeuk66.tistory.com/entry/%EC%9B%8C%EB%93%9C%EC%97%90%EC%84%9C-%ED%91%9C-%EC%82%BD%EC%9E%85-%ED%9B%84-%EC%84%9C%EC%8B%9D-%EC%9C%A0%EC%A7%80%ED%95%98%EB%8A%94-%EB%B0%A9%EB%B2%95-%EC%99%84%EB%B2%BD-%EC%A0%95%EB%A6%AC" TargetMode="External"/><Relationship Id="rId22" Type="http://schemas.openxmlformats.org/officeDocument/2006/relationships/hyperlink" Target="https://ko.extendoffice.com/documents/word/4541-word-save-table-style.html" TargetMode="External"/><Relationship Id="rId23" Type="http://schemas.openxmlformats.org/officeDocument/2006/relationships/hyperlink" Target="https://m.blog.naver.com/toruin84/222200764316" TargetMode="External"/><Relationship Id="rId24" Type="http://schemas.openxmlformats.org/officeDocument/2006/relationships/hyperlink" Target="https://ko.extendoffice.com/documents/word/999-word-change-style-of-all-tables.html" TargetMode="External"/><Relationship Id="rId25" Type="http://schemas.openxmlformats.org/officeDocument/2006/relationships/hyperlink" Target="https://products.aspose.app/cells/conversion/table-to-docx" TargetMode="External"/><Relationship Id="rId26" Type="http://schemas.openxmlformats.org/officeDocument/2006/relationships/hyperlink" Target="https://products.aspose.app/cells/ko/conversion/table-to-docx" TargetMode="External"/><Relationship Id="rId27" Type="http://schemas.openxmlformats.org/officeDocument/2006/relationships/hyperlink" Target="https://www.filetailored.com/tools/document/convert/excel-to-word" TargetMode="External"/><Relationship Id="rId28" Type="http://schemas.openxmlformats.org/officeDocument/2006/relationships/hyperlink" Target="https://www.pdfagile.com/blog/how-to-copy-a-pdf-table-to-wor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